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ColorfulList-Accent5"/>
        <w:tblW w:w="5000" w:type="pct"/>
        <w:tblLook w:val="0480" w:firstRow="0" w:lastRow="0" w:firstColumn="1" w:lastColumn="0" w:noHBand="0" w:noVBand="1"/>
      </w:tblPr>
      <w:tblGrid>
        <w:gridCol w:w="1660"/>
        <w:gridCol w:w="2696"/>
        <w:gridCol w:w="1359"/>
        <w:gridCol w:w="3005"/>
      </w:tblGrid>
      <w:tr w:rsidR="007B3915" w:rsidTr="007B39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 w:type="pct"/>
            <w:hideMark/>
          </w:tcPr>
          <w:p w:rsidR="007B3915" w:rsidRDefault="007B3915">
            <w:pPr>
              <w:widowControl/>
              <w:autoSpaceDE/>
              <w:adjustRightInd/>
              <w:rPr>
                <w:rFonts w:ascii="Calibri" w:eastAsia="Calibri" w:hAnsi="Calibri"/>
                <w:bCs w:val="0"/>
                <w:color w:val="808080"/>
                <w:sz w:val="22"/>
                <w:szCs w:val="22"/>
                <w:lang w:eastAsia="en-US"/>
              </w:rPr>
            </w:pPr>
            <w:r>
              <w:rPr>
                <w:rFonts w:ascii="Calibri" w:eastAsia="Calibri" w:hAnsi="Calibri"/>
                <w:bCs w:val="0"/>
                <w:color w:val="808080"/>
                <w:sz w:val="22"/>
                <w:szCs w:val="22"/>
                <w:lang w:eastAsia="en-US"/>
              </w:rPr>
              <w:t>PROBLEMA</w:t>
            </w:r>
          </w:p>
        </w:tc>
        <w:tc>
          <w:tcPr>
            <w:tcW w:w="4048" w:type="pct"/>
            <w:gridSpan w:val="3"/>
          </w:tcPr>
          <w:p w:rsidR="007B3915" w:rsidRDefault="007B3915">
            <w:pPr>
              <w:widowControl/>
              <w:autoSpaceDE/>
              <w:adjustRightInd/>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lang w:eastAsia="en-US"/>
              </w:rPr>
            </w:pPr>
          </w:p>
          <w:p w:rsidR="007B3915" w:rsidRDefault="003D4C49">
            <w:pPr>
              <w:widowControl/>
              <w:autoSpaceDE/>
              <w:adjustRightInd/>
              <w:cnfStyle w:val="000000100000" w:firstRow="0" w:lastRow="0" w:firstColumn="0" w:lastColumn="0" w:oddVBand="0" w:evenVBand="0" w:oddHBand="1" w:evenHBand="0" w:firstRowFirstColumn="0" w:firstRowLastColumn="0" w:lastRowFirstColumn="0" w:lastRowLastColumn="0"/>
              <w:rPr>
                <w:rFonts w:ascii="Calibri" w:eastAsia="Calibri" w:hAnsi="Calibri"/>
                <w:b/>
                <w:sz w:val="20"/>
                <w:szCs w:val="20"/>
                <w:lang w:eastAsia="en-US"/>
              </w:rPr>
            </w:pPr>
            <w:r>
              <w:rPr>
                <w:rFonts w:ascii="Calibri" w:eastAsia="Calibri" w:hAnsi="Calibri"/>
                <w:b/>
                <w:sz w:val="20"/>
                <w:szCs w:val="20"/>
                <w:lang w:eastAsia="en-US"/>
              </w:rPr>
              <w:t>El elevado gasto de agua en las piscinas privadas debido a la evaporación y operaciones de limpieza en época de no baño. En Málaga, una piscinas pierde, en época de no baño, un 80% de su volumen entre evaporación y operaciones de limpieza.</w:t>
            </w:r>
          </w:p>
          <w:p w:rsidR="007B3915" w:rsidRDefault="007B3915">
            <w:pPr>
              <w:widowControl/>
              <w:autoSpaceDE/>
              <w:adjustRightInd/>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lang w:eastAsia="en-US"/>
              </w:rPr>
            </w:pPr>
          </w:p>
        </w:tc>
      </w:tr>
      <w:tr w:rsidR="007B3915" w:rsidTr="007B3915">
        <w:tc>
          <w:tcPr>
            <w:cnfStyle w:val="001000000000" w:firstRow="0" w:lastRow="0" w:firstColumn="1" w:lastColumn="0" w:oddVBand="0" w:evenVBand="0" w:oddHBand="0" w:evenHBand="0" w:firstRowFirstColumn="0" w:firstRowLastColumn="0" w:lastRowFirstColumn="0" w:lastRowLastColumn="0"/>
            <w:tcW w:w="952" w:type="pct"/>
            <w:hideMark/>
          </w:tcPr>
          <w:p w:rsidR="007B3915" w:rsidRDefault="007B3915">
            <w:pPr>
              <w:widowControl/>
              <w:autoSpaceDE/>
              <w:adjustRightInd/>
              <w:rPr>
                <w:rFonts w:ascii="Calibri" w:eastAsia="Calibri" w:hAnsi="Calibri"/>
                <w:bCs w:val="0"/>
                <w:color w:val="808080"/>
                <w:sz w:val="22"/>
                <w:szCs w:val="22"/>
                <w:lang w:eastAsia="en-US"/>
              </w:rPr>
            </w:pPr>
            <w:r>
              <w:rPr>
                <w:rFonts w:ascii="Calibri" w:eastAsia="Calibri" w:hAnsi="Calibri"/>
                <w:bCs w:val="0"/>
                <w:color w:val="808080"/>
                <w:sz w:val="22"/>
                <w:szCs w:val="22"/>
                <w:lang w:eastAsia="en-US"/>
              </w:rPr>
              <w:t>OBJETIVO</w:t>
            </w:r>
          </w:p>
        </w:tc>
        <w:tc>
          <w:tcPr>
            <w:tcW w:w="4048" w:type="pct"/>
            <w:gridSpan w:val="3"/>
          </w:tcPr>
          <w:p w:rsidR="007B3915" w:rsidRDefault="007B3915">
            <w:pPr>
              <w:widowControl/>
              <w:autoSpaceDE/>
              <w:adjustRightInd/>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lang w:eastAsia="en-US"/>
              </w:rPr>
            </w:pPr>
          </w:p>
          <w:p w:rsidR="007B3915" w:rsidRDefault="007B3915">
            <w:pPr>
              <w:widowControl/>
              <w:autoSpaceDE/>
              <w:adjustRightInd/>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lang w:eastAsia="en-US"/>
              </w:rPr>
            </w:pPr>
            <w:r>
              <w:rPr>
                <w:rFonts w:ascii="Calibri" w:eastAsia="Calibri" w:hAnsi="Calibri"/>
                <w:sz w:val="20"/>
                <w:szCs w:val="20"/>
                <w:lang w:eastAsia="en-US"/>
              </w:rPr>
              <w:t xml:space="preserve">Reducir </w:t>
            </w:r>
            <w:r w:rsidR="0028234B">
              <w:rPr>
                <w:rFonts w:ascii="Calibri" w:eastAsia="Calibri" w:hAnsi="Calibri"/>
                <w:sz w:val="20"/>
                <w:szCs w:val="20"/>
                <w:lang w:eastAsia="en-US"/>
              </w:rPr>
              <w:t xml:space="preserve">el consumo de agua en </w:t>
            </w:r>
            <w:r w:rsidR="003D4C49">
              <w:rPr>
                <w:rFonts w:ascii="Calibri" w:eastAsia="Calibri" w:hAnsi="Calibri"/>
                <w:sz w:val="20"/>
                <w:szCs w:val="20"/>
                <w:lang w:eastAsia="en-US"/>
              </w:rPr>
              <w:t>piscinas privadas (individuales y colectivas)</w:t>
            </w:r>
            <w:r w:rsidR="0028234B">
              <w:rPr>
                <w:rFonts w:ascii="Calibri" w:eastAsia="Calibri" w:hAnsi="Calibri"/>
                <w:sz w:val="20"/>
                <w:szCs w:val="20"/>
                <w:lang w:eastAsia="en-US"/>
              </w:rPr>
              <w:t>.</w:t>
            </w:r>
          </w:p>
          <w:p w:rsidR="007B3915" w:rsidRDefault="007B3915">
            <w:pPr>
              <w:widowControl/>
              <w:autoSpaceDE/>
              <w:adjustRightInd/>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lang w:eastAsia="en-US"/>
              </w:rPr>
            </w:pPr>
          </w:p>
        </w:tc>
      </w:tr>
      <w:tr w:rsidR="007B3915" w:rsidTr="007B39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 w:type="pct"/>
            <w:hideMark/>
          </w:tcPr>
          <w:p w:rsidR="007B3915" w:rsidRDefault="007B3915">
            <w:pPr>
              <w:widowControl/>
              <w:autoSpaceDE/>
              <w:adjustRightInd/>
              <w:rPr>
                <w:rFonts w:ascii="Calibri" w:eastAsia="Calibri" w:hAnsi="Calibri"/>
                <w:bCs w:val="0"/>
                <w:color w:val="808080"/>
                <w:sz w:val="22"/>
                <w:szCs w:val="22"/>
                <w:lang w:eastAsia="en-US"/>
              </w:rPr>
            </w:pPr>
            <w:r>
              <w:rPr>
                <w:rFonts w:ascii="Calibri" w:eastAsia="Calibri" w:hAnsi="Calibri"/>
                <w:bCs w:val="0"/>
                <w:color w:val="808080"/>
                <w:sz w:val="22"/>
                <w:szCs w:val="22"/>
                <w:lang w:eastAsia="en-US"/>
              </w:rPr>
              <w:t>ACTUACIÓN PROPUESTA</w:t>
            </w:r>
          </w:p>
        </w:tc>
        <w:tc>
          <w:tcPr>
            <w:tcW w:w="4048" w:type="pct"/>
            <w:gridSpan w:val="3"/>
          </w:tcPr>
          <w:p w:rsidR="007B3915" w:rsidRDefault="007B3915">
            <w:pPr>
              <w:widowControl/>
              <w:autoSpaceDE/>
              <w:adjustRightInd/>
              <w:cnfStyle w:val="000000100000" w:firstRow="0" w:lastRow="0" w:firstColumn="0" w:lastColumn="0" w:oddVBand="0" w:evenVBand="0" w:oddHBand="1" w:evenHBand="0" w:firstRowFirstColumn="0" w:firstRowLastColumn="0" w:lastRowFirstColumn="0" w:lastRowLastColumn="0"/>
              <w:rPr>
                <w:rFonts w:ascii="Calibri" w:eastAsia="Calibri" w:hAnsi="Calibri"/>
                <w:bCs/>
                <w:sz w:val="20"/>
                <w:szCs w:val="20"/>
                <w:lang w:eastAsia="en-US"/>
              </w:rPr>
            </w:pPr>
          </w:p>
          <w:p w:rsidR="007B3915" w:rsidRDefault="003D4C49">
            <w:pPr>
              <w:widowControl/>
              <w:autoSpaceDE/>
              <w:adjustRightInd/>
              <w:cnfStyle w:val="000000100000" w:firstRow="0" w:lastRow="0" w:firstColumn="0" w:lastColumn="0" w:oddVBand="0" w:evenVBand="0" w:oddHBand="1" w:evenHBand="0" w:firstRowFirstColumn="0" w:firstRowLastColumn="0" w:lastRowFirstColumn="0" w:lastRowLastColumn="0"/>
              <w:rPr>
                <w:rFonts w:ascii="Calibri" w:eastAsia="Calibri" w:hAnsi="Calibri"/>
                <w:bCs/>
                <w:sz w:val="20"/>
                <w:szCs w:val="20"/>
                <w:lang w:eastAsia="en-US"/>
              </w:rPr>
            </w:pPr>
            <w:r>
              <w:rPr>
                <w:rFonts w:ascii="Calibri" w:eastAsia="Calibri" w:hAnsi="Calibri"/>
                <w:bCs/>
                <w:sz w:val="20"/>
                <w:szCs w:val="20"/>
                <w:lang w:eastAsia="en-US"/>
              </w:rPr>
              <w:t xml:space="preserve">Realizar una valoración del gasto por este concepto en Málaga e incluir en </w:t>
            </w:r>
            <w:proofErr w:type="gramStart"/>
            <w:r>
              <w:rPr>
                <w:rFonts w:ascii="Calibri" w:eastAsia="Calibri" w:hAnsi="Calibri"/>
                <w:bCs/>
                <w:sz w:val="20"/>
                <w:szCs w:val="20"/>
                <w:lang w:eastAsia="en-US"/>
              </w:rPr>
              <w:t>alguna ordenanza medidas</w:t>
            </w:r>
            <w:proofErr w:type="gramEnd"/>
            <w:r>
              <w:rPr>
                <w:rFonts w:ascii="Calibri" w:eastAsia="Calibri" w:hAnsi="Calibri"/>
                <w:bCs/>
                <w:sz w:val="20"/>
                <w:szCs w:val="20"/>
                <w:lang w:eastAsia="en-US"/>
              </w:rPr>
              <w:t xml:space="preserve"> que incentiven u obliguen </w:t>
            </w:r>
            <w:r w:rsidRPr="00EF718C">
              <w:rPr>
                <w:rFonts w:ascii="Calibri" w:eastAsia="Calibri" w:hAnsi="Calibri"/>
                <w:b/>
                <w:bCs/>
                <w:sz w:val="20"/>
                <w:szCs w:val="20"/>
                <w:lang w:eastAsia="en-US"/>
              </w:rPr>
              <w:t>cubrir las piscinas</w:t>
            </w:r>
            <w:r>
              <w:rPr>
                <w:rFonts w:ascii="Calibri" w:eastAsia="Calibri" w:hAnsi="Calibri"/>
                <w:bCs/>
                <w:sz w:val="20"/>
                <w:szCs w:val="20"/>
                <w:lang w:eastAsia="en-US"/>
              </w:rPr>
              <w:t xml:space="preserve"> en época invernal</w:t>
            </w:r>
            <w:r w:rsidR="00B70D89">
              <w:rPr>
                <w:rFonts w:ascii="Calibri" w:eastAsia="Calibri" w:hAnsi="Calibri"/>
                <w:bCs/>
                <w:sz w:val="20"/>
                <w:szCs w:val="20"/>
                <w:lang w:eastAsia="en-US"/>
              </w:rPr>
              <w:t xml:space="preserve"> (lonas fijas, móviles, estructuras retráctiles, etc.)</w:t>
            </w:r>
            <w:r>
              <w:rPr>
                <w:rFonts w:ascii="Calibri" w:eastAsia="Calibri" w:hAnsi="Calibri"/>
                <w:bCs/>
                <w:sz w:val="20"/>
                <w:szCs w:val="20"/>
                <w:lang w:eastAsia="en-US"/>
              </w:rPr>
              <w:t xml:space="preserve">. Durante época de sequía se prohíbe </w:t>
            </w:r>
            <w:r w:rsidR="007753F1">
              <w:rPr>
                <w:rFonts w:ascii="Calibri" w:eastAsia="Calibri" w:hAnsi="Calibri"/>
                <w:bCs/>
                <w:sz w:val="20"/>
                <w:szCs w:val="20"/>
                <w:lang w:eastAsia="en-US"/>
              </w:rPr>
              <w:t>no mantener el agua</w:t>
            </w:r>
            <w:r w:rsidR="00B70D89">
              <w:rPr>
                <w:rFonts w:ascii="Calibri" w:eastAsia="Calibri" w:hAnsi="Calibri"/>
                <w:bCs/>
                <w:sz w:val="20"/>
                <w:szCs w:val="20"/>
                <w:lang w:eastAsia="en-US"/>
              </w:rPr>
              <w:t xml:space="preserve"> en invierno</w:t>
            </w:r>
            <w:r w:rsidR="007753F1">
              <w:rPr>
                <w:rFonts w:ascii="Calibri" w:eastAsia="Calibri" w:hAnsi="Calibri"/>
                <w:bCs/>
                <w:sz w:val="20"/>
                <w:szCs w:val="20"/>
                <w:lang w:eastAsia="en-US"/>
              </w:rPr>
              <w:t xml:space="preserve"> y rellenarlas</w:t>
            </w:r>
            <w:r>
              <w:rPr>
                <w:rFonts w:ascii="Calibri" w:eastAsia="Calibri" w:hAnsi="Calibri"/>
                <w:bCs/>
                <w:sz w:val="20"/>
                <w:szCs w:val="20"/>
                <w:lang w:eastAsia="en-US"/>
              </w:rPr>
              <w:t xml:space="preserve"> </w:t>
            </w:r>
            <w:r w:rsidR="007753F1">
              <w:rPr>
                <w:rFonts w:ascii="Calibri" w:eastAsia="Calibri" w:hAnsi="Calibri"/>
                <w:bCs/>
                <w:sz w:val="20"/>
                <w:szCs w:val="20"/>
                <w:lang w:eastAsia="en-US"/>
              </w:rPr>
              <w:t>(y se controla), sería una medida similar pero con los cubrimientos. El ahorro en tiempo y dinero se nota rápidamente para el propio usuario</w:t>
            </w:r>
            <w:r w:rsidR="00B70D89">
              <w:rPr>
                <w:rFonts w:ascii="Calibri" w:eastAsia="Calibri" w:hAnsi="Calibri"/>
                <w:bCs/>
                <w:sz w:val="20"/>
                <w:szCs w:val="20"/>
                <w:lang w:eastAsia="en-US"/>
              </w:rPr>
              <w:t xml:space="preserve"> (es una medida muy eficiente)</w:t>
            </w:r>
            <w:r w:rsidR="007753F1">
              <w:rPr>
                <w:rFonts w:ascii="Calibri" w:eastAsia="Calibri" w:hAnsi="Calibri"/>
                <w:bCs/>
                <w:sz w:val="20"/>
                <w:szCs w:val="20"/>
                <w:lang w:eastAsia="en-US"/>
              </w:rPr>
              <w:t>, en otros países todo el mundo lo hace, pero aquí falta concienciación y costumbre.</w:t>
            </w:r>
          </w:p>
          <w:p w:rsidR="007B3915" w:rsidRDefault="007B3915">
            <w:pPr>
              <w:widowControl/>
              <w:autoSpaceDE/>
              <w:adjustRightInd/>
              <w:cnfStyle w:val="000000100000" w:firstRow="0" w:lastRow="0" w:firstColumn="0" w:lastColumn="0" w:oddVBand="0" w:evenVBand="0" w:oddHBand="1" w:evenHBand="0" w:firstRowFirstColumn="0" w:firstRowLastColumn="0" w:lastRowFirstColumn="0" w:lastRowLastColumn="0"/>
              <w:rPr>
                <w:rFonts w:ascii="Calibri" w:eastAsia="Calibri" w:hAnsi="Calibri"/>
                <w:bCs/>
                <w:sz w:val="20"/>
                <w:szCs w:val="20"/>
                <w:lang w:eastAsia="en-US"/>
              </w:rPr>
            </w:pPr>
          </w:p>
        </w:tc>
      </w:tr>
      <w:tr w:rsidR="007B3915" w:rsidTr="007B3915">
        <w:tc>
          <w:tcPr>
            <w:cnfStyle w:val="001000000000" w:firstRow="0" w:lastRow="0" w:firstColumn="1" w:lastColumn="0" w:oddVBand="0" w:evenVBand="0" w:oddHBand="0" w:evenHBand="0" w:firstRowFirstColumn="0" w:firstRowLastColumn="0" w:lastRowFirstColumn="0" w:lastRowLastColumn="0"/>
            <w:tcW w:w="952" w:type="pct"/>
            <w:hideMark/>
          </w:tcPr>
          <w:p w:rsidR="007B3915" w:rsidRDefault="007B3915">
            <w:pPr>
              <w:widowControl/>
              <w:autoSpaceDE/>
              <w:adjustRightInd/>
              <w:rPr>
                <w:rFonts w:ascii="Calibri" w:eastAsia="Calibri" w:hAnsi="Calibri"/>
                <w:bCs w:val="0"/>
                <w:color w:val="808080"/>
                <w:sz w:val="22"/>
                <w:szCs w:val="22"/>
                <w:lang w:eastAsia="en-US"/>
              </w:rPr>
            </w:pPr>
            <w:r>
              <w:rPr>
                <w:rFonts w:ascii="Calibri" w:eastAsia="Calibri" w:hAnsi="Calibri"/>
                <w:bCs w:val="0"/>
                <w:color w:val="808080"/>
                <w:sz w:val="22"/>
                <w:szCs w:val="22"/>
                <w:lang w:eastAsia="en-US"/>
              </w:rPr>
              <w:t>ZONAS</w:t>
            </w:r>
          </w:p>
        </w:tc>
        <w:tc>
          <w:tcPr>
            <w:tcW w:w="4048" w:type="pct"/>
            <w:gridSpan w:val="3"/>
          </w:tcPr>
          <w:p w:rsidR="007B3915" w:rsidRDefault="007B3915">
            <w:pPr>
              <w:widowControl/>
              <w:autoSpaceDE/>
              <w:adjustRightInd/>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lang w:eastAsia="en-US"/>
              </w:rPr>
            </w:pPr>
          </w:p>
          <w:p w:rsidR="007B3915" w:rsidRDefault="0028234B">
            <w:pPr>
              <w:widowControl/>
              <w:autoSpaceDE/>
              <w:adjustRightInd/>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lang w:eastAsia="en-US"/>
              </w:rPr>
            </w:pPr>
            <w:r>
              <w:rPr>
                <w:rFonts w:ascii="Calibri" w:eastAsia="Calibri" w:hAnsi="Calibri"/>
                <w:sz w:val="20"/>
                <w:szCs w:val="20"/>
                <w:lang w:eastAsia="en-US"/>
              </w:rPr>
              <w:t>En todas las zonas.</w:t>
            </w:r>
            <w:r w:rsidR="007753F1">
              <w:rPr>
                <w:rFonts w:ascii="Calibri" w:eastAsia="Calibri" w:hAnsi="Calibri"/>
                <w:sz w:val="20"/>
                <w:szCs w:val="20"/>
                <w:lang w:eastAsia="en-US"/>
              </w:rPr>
              <w:t xml:space="preserve"> </w:t>
            </w:r>
          </w:p>
          <w:p w:rsidR="007B3915" w:rsidRDefault="007B3915">
            <w:pPr>
              <w:widowControl/>
              <w:autoSpaceDE/>
              <w:adjustRightInd/>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lang w:eastAsia="en-US"/>
              </w:rPr>
            </w:pPr>
          </w:p>
        </w:tc>
      </w:tr>
      <w:tr w:rsidR="007B3915" w:rsidTr="007B39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 w:type="pct"/>
            <w:hideMark/>
          </w:tcPr>
          <w:p w:rsidR="007B3915" w:rsidRDefault="007B3915">
            <w:pPr>
              <w:widowControl/>
              <w:autoSpaceDE/>
              <w:adjustRightInd/>
              <w:rPr>
                <w:rFonts w:ascii="Calibri" w:eastAsia="Calibri" w:hAnsi="Calibri"/>
                <w:bCs w:val="0"/>
                <w:color w:val="808080"/>
                <w:sz w:val="22"/>
                <w:szCs w:val="22"/>
                <w:lang w:eastAsia="en-US"/>
              </w:rPr>
            </w:pPr>
            <w:r>
              <w:rPr>
                <w:rFonts w:ascii="Calibri" w:eastAsia="Calibri" w:hAnsi="Calibri"/>
                <w:bCs w:val="0"/>
                <w:color w:val="808080"/>
                <w:sz w:val="22"/>
                <w:szCs w:val="22"/>
                <w:lang w:eastAsia="en-US"/>
              </w:rPr>
              <w:t>PRIORIDAD</w:t>
            </w:r>
          </w:p>
        </w:tc>
        <w:tc>
          <w:tcPr>
            <w:tcW w:w="1546" w:type="pct"/>
          </w:tcPr>
          <w:p w:rsidR="007B3915" w:rsidRDefault="007753F1">
            <w:pPr>
              <w:widowControl/>
              <w:autoSpaceDE/>
              <w:adjustRightInd/>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lang w:eastAsia="en-US"/>
              </w:rPr>
            </w:pPr>
            <w:r>
              <w:rPr>
                <w:rFonts w:ascii="Calibri" w:eastAsia="Calibri" w:hAnsi="Calibri"/>
                <w:sz w:val="20"/>
                <w:szCs w:val="20"/>
                <w:lang w:eastAsia="en-US"/>
              </w:rPr>
              <w:t>5</w:t>
            </w:r>
          </w:p>
        </w:tc>
        <w:tc>
          <w:tcPr>
            <w:tcW w:w="779" w:type="pct"/>
            <w:hideMark/>
          </w:tcPr>
          <w:p w:rsidR="007B3915" w:rsidRDefault="007B3915">
            <w:pPr>
              <w:widowControl/>
              <w:autoSpaceDE/>
              <w:adjustRightInd/>
              <w:cnfStyle w:val="000000100000" w:firstRow="0" w:lastRow="0" w:firstColumn="0" w:lastColumn="0" w:oddVBand="0" w:evenVBand="0" w:oddHBand="1" w:evenHBand="0" w:firstRowFirstColumn="0" w:firstRowLastColumn="0" w:lastRowFirstColumn="0" w:lastRowLastColumn="0"/>
              <w:rPr>
                <w:rFonts w:ascii="Calibri" w:eastAsia="Calibri" w:hAnsi="Calibri"/>
                <w:b/>
                <w:color w:val="000000"/>
                <w:sz w:val="20"/>
                <w:szCs w:val="20"/>
                <w:lang w:eastAsia="en-US"/>
              </w:rPr>
            </w:pPr>
            <w:r>
              <w:rPr>
                <w:rFonts w:ascii="Calibri" w:eastAsia="Calibri" w:hAnsi="Calibri"/>
                <w:b/>
                <w:bCs/>
                <w:color w:val="808080"/>
                <w:sz w:val="22"/>
                <w:szCs w:val="22"/>
                <w:lang w:eastAsia="en-US"/>
              </w:rPr>
              <w:t>VIABILIDAD</w:t>
            </w:r>
          </w:p>
        </w:tc>
        <w:tc>
          <w:tcPr>
            <w:tcW w:w="1723" w:type="pct"/>
          </w:tcPr>
          <w:p w:rsidR="007B3915" w:rsidRDefault="0028234B">
            <w:pPr>
              <w:widowControl/>
              <w:autoSpaceDE/>
              <w:adjustRightInd/>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0"/>
                <w:szCs w:val="20"/>
                <w:lang w:eastAsia="en-US"/>
              </w:rPr>
            </w:pPr>
            <w:r>
              <w:rPr>
                <w:rFonts w:ascii="Calibri" w:eastAsia="Calibri" w:hAnsi="Calibri"/>
                <w:color w:val="000000"/>
                <w:sz w:val="20"/>
                <w:szCs w:val="20"/>
                <w:lang w:eastAsia="en-US"/>
              </w:rPr>
              <w:t>5</w:t>
            </w:r>
          </w:p>
          <w:p w:rsidR="007B3915" w:rsidRDefault="007B3915">
            <w:pPr>
              <w:widowControl/>
              <w:autoSpaceDE/>
              <w:adjustRightInd/>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0"/>
                <w:szCs w:val="20"/>
                <w:lang w:eastAsia="en-US"/>
              </w:rPr>
            </w:pPr>
          </w:p>
        </w:tc>
      </w:tr>
      <w:tr w:rsidR="007B3915" w:rsidTr="007B3915">
        <w:tc>
          <w:tcPr>
            <w:cnfStyle w:val="001000000000" w:firstRow="0" w:lastRow="0" w:firstColumn="1" w:lastColumn="0" w:oddVBand="0" w:evenVBand="0" w:oddHBand="0" w:evenHBand="0" w:firstRowFirstColumn="0" w:firstRowLastColumn="0" w:lastRowFirstColumn="0" w:lastRowLastColumn="0"/>
            <w:tcW w:w="952" w:type="pct"/>
            <w:hideMark/>
          </w:tcPr>
          <w:p w:rsidR="007B3915" w:rsidRDefault="007B3915">
            <w:pPr>
              <w:widowControl/>
              <w:autoSpaceDE/>
              <w:adjustRightInd/>
              <w:rPr>
                <w:rFonts w:ascii="Calibri" w:eastAsia="Calibri" w:hAnsi="Calibri"/>
                <w:bCs w:val="0"/>
                <w:color w:val="808080"/>
                <w:sz w:val="22"/>
                <w:szCs w:val="22"/>
                <w:lang w:eastAsia="en-US"/>
              </w:rPr>
            </w:pPr>
            <w:r>
              <w:rPr>
                <w:rFonts w:ascii="Calibri" w:eastAsia="Calibri" w:hAnsi="Calibri"/>
                <w:bCs w:val="0"/>
                <w:color w:val="808080"/>
                <w:sz w:val="22"/>
                <w:szCs w:val="22"/>
                <w:lang w:eastAsia="en-US"/>
              </w:rPr>
              <w:t>INDICADOR</w:t>
            </w:r>
          </w:p>
        </w:tc>
        <w:tc>
          <w:tcPr>
            <w:tcW w:w="4048" w:type="pct"/>
            <w:gridSpan w:val="3"/>
          </w:tcPr>
          <w:p w:rsidR="007B3915" w:rsidRDefault="007B3915">
            <w:pPr>
              <w:widowControl/>
              <w:autoSpaceDE/>
              <w:adjustRightInd/>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lang w:eastAsia="en-US"/>
              </w:rPr>
            </w:pPr>
          </w:p>
          <w:p w:rsidR="00335107" w:rsidRDefault="00335107">
            <w:pPr>
              <w:widowControl/>
              <w:autoSpaceDE/>
              <w:adjustRightInd/>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lang w:eastAsia="en-US"/>
              </w:rPr>
            </w:pPr>
            <w:r>
              <w:rPr>
                <w:rFonts w:ascii="Calibri" w:eastAsia="Calibri" w:hAnsi="Calibri"/>
                <w:sz w:val="20"/>
                <w:szCs w:val="20"/>
                <w:lang w:eastAsia="en-US"/>
              </w:rPr>
              <w:t xml:space="preserve">- </w:t>
            </w:r>
            <w:r w:rsidR="0028234B">
              <w:rPr>
                <w:rFonts w:ascii="Calibri" w:eastAsia="Calibri" w:hAnsi="Calibri"/>
                <w:sz w:val="20"/>
                <w:szCs w:val="20"/>
                <w:lang w:eastAsia="en-US"/>
              </w:rPr>
              <w:t>Consumo de agua.</w:t>
            </w:r>
          </w:p>
          <w:p w:rsidR="00EF718C" w:rsidRDefault="00EF718C">
            <w:pPr>
              <w:widowControl/>
              <w:autoSpaceDE/>
              <w:adjustRightInd/>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lang w:eastAsia="en-US"/>
              </w:rPr>
            </w:pPr>
            <w:r>
              <w:rPr>
                <w:rFonts w:ascii="Calibri" w:eastAsia="Calibri" w:hAnsi="Calibri"/>
                <w:sz w:val="20"/>
                <w:szCs w:val="20"/>
                <w:lang w:eastAsia="en-US"/>
              </w:rPr>
              <w:t>- Metro cuadrado de piscina por habitante.</w:t>
            </w:r>
            <w:bookmarkStart w:id="0" w:name="_GoBack"/>
            <w:bookmarkEnd w:id="0"/>
          </w:p>
          <w:p w:rsidR="007B3915" w:rsidRDefault="007B3915" w:rsidP="00335107">
            <w:pPr>
              <w:widowControl/>
              <w:autoSpaceDE/>
              <w:adjustRightInd/>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lang w:eastAsia="en-US"/>
              </w:rPr>
            </w:pPr>
          </w:p>
        </w:tc>
      </w:tr>
      <w:tr w:rsidR="007B3915" w:rsidTr="007B39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 w:type="pct"/>
            <w:hideMark/>
          </w:tcPr>
          <w:p w:rsidR="007B3915" w:rsidRDefault="007B3915">
            <w:pPr>
              <w:widowControl/>
              <w:autoSpaceDE/>
              <w:adjustRightInd/>
              <w:rPr>
                <w:rFonts w:ascii="Calibri" w:eastAsia="Calibri" w:hAnsi="Calibri"/>
                <w:bCs w:val="0"/>
                <w:color w:val="808080"/>
                <w:sz w:val="22"/>
                <w:szCs w:val="22"/>
                <w:lang w:eastAsia="en-US"/>
              </w:rPr>
            </w:pPr>
            <w:r>
              <w:rPr>
                <w:rFonts w:ascii="Calibri" w:eastAsia="Calibri" w:hAnsi="Calibri"/>
                <w:bCs w:val="0"/>
                <w:color w:val="808080"/>
                <w:sz w:val="22"/>
                <w:szCs w:val="22"/>
                <w:lang w:eastAsia="en-US"/>
              </w:rPr>
              <w:t>META</w:t>
            </w:r>
          </w:p>
        </w:tc>
        <w:tc>
          <w:tcPr>
            <w:tcW w:w="4048" w:type="pct"/>
            <w:gridSpan w:val="3"/>
          </w:tcPr>
          <w:p w:rsidR="007B3915" w:rsidRDefault="007B3915">
            <w:pPr>
              <w:widowControl/>
              <w:autoSpaceDE/>
              <w:adjustRightInd/>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lang w:eastAsia="en-US"/>
              </w:rPr>
            </w:pPr>
          </w:p>
          <w:p w:rsidR="007B3915" w:rsidRDefault="005A1AF9">
            <w:pPr>
              <w:widowControl/>
              <w:autoSpaceDE/>
              <w:adjustRightInd/>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lang w:eastAsia="en-US"/>
              </w:rPr>
            </w:pPr>
            <w:r>
              <w:rPr>
                <w:rFonts w:ascii="Calibri" w:eastAsia="Calibri" w:hAnsi="Calibri"/>
                <w:sz w:val="20"/>
                <w:szCs w:val="20"/>
                <w:lang w:eastAsia="en-US"/>
              </w:rPr>
              <w:t xml:space="preserve">Reducir el </w:t>
            </w:r>
            <w:r w:rsidR="00A97BFE">
              <w:rPr>
                <w:rFonts w:ascii="Calibri" w:eastAsia="Calibri" w:hAnsi="Calibri"/>
                <w:sz w:val="20"/>
                <w:szCs w:val="20"/>
                <w:lang w:eastAsia="en-US"/>
              </w:rPr>
              <w:t xml:space="preserve">consumo de agua en </w:t>
            </w:r>
            <w:r w:rsidR="007753F1">
              <w:rPr>
                <w:rFonts w:ascii="Calibri" w:eastAsia="Calibri" w:hAnsi="Calibri"/>
                <w:sz w:val="20"/>
                <w:szCs w:val="20"/>
                <w:lang w:eastAsia="en-US"/>
              </w:rPr>
              <w:t>piscinas en un 50%.</w:t>
            </w:r>
          </w:p>
          <w:p w:rsidR="007B3915" w:rsidRDefault="007B3915">
            <w:pPr>
              <w:widowControl/>
              <w:autoSpaceDE/>
              <w:adjustRightInd/>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lang w:eastAsia="en-US"/>
              </w:rPr>
            </w:pPr>
          </w:p>
        </w:tc>
      </w:tr>
      <w:tr w:rsidR="007B3915" w:rsidTr="007B3915">
        <w:tc>
          <w:tcPr>
            <w:cnfStyle w:val="001000000000" w:firstRow="0" w:lastRow="0" w:firstColumn="1" w:lastColumn="0" w:oddVBand="0" w:evenVBand="0" w:oddHBand="0" w:evenHBand="0" w:firstRowFirstColumn="0" w:firstRowLastColumn="0" w:lastRowFirstColumn="0" w:lastRowLastColumn="0"/>
            <w:tcW w:w="952" w:type="pct"/>
            <w:hideMark/>
          </w:tcPr>
          <w:p w:rsidR="007B3915" w:rsidRDefault="007B3915">
            <w:pPr>
              <w:widowControl/>
              <w:autoSpaceDE/>
              <w:adjustRightInd/>
              <w:rPr>
                <w:rFonts w:ascii="Calibri" w:eastAsia="Calibri" w:hAnsi="Calibri"/>
                <w:bCs w:val="0"/>
                <w:color w:val="808080"/>
                <w:sz w:val="22"/>
                <w:szCs w:val="22"/>
                <w:lang w:eastAsia="en-US"/>
              </w:rPr>
            </w:pPr>
            <w:r>
              <w:rPr>
                <w:rFonts w:ascii="Calibri" w:eastAsia="Calibri" w:hAnsi="Calibri"/>
                <w:bCs w:val="0"/>
                <w:color w:val="808080"/>
                <w:sz w:val="22"/>
                <w:szCs w:val="22"/>
                <w:lang w:eastAsia="en-US"/>
              </w:rPr>
              <w:t>COMENTARIOS</w:t>
            </w:r>
          </w:p>
        </w:tc>
        <w:tc>
          <w:tcPr>
            <w:tcW w:w="4048" w:type="pct"/>
            <w:gridSpan w:val="3"/>
          </w:tcPr>
          <w:p w:rsidR="007B3915" w:rsidRDefault="007B3915">
            <w:pPr>
              <w:widowControl/>
              <w:autoSpaceDE/>
              <w:adjustRightInd/>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lang w:eastAsia="en-US"/>
              </w:rPr>
            </w:pPr>
          </w:p>
          <w:p w:rsidR="007B3915" w:rsidRDefault="00B70D89" w:rsidP="00EF718C">
            <w:pPr>
              <w:widowControl/>
              <w:autoSpaceDE/>
              <w:adjustRightInd/>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lang w:eastAsia="en-US"/>
              </w:rPr>
            </w:pPr>
            <w:r>
              <w:rPr>
                <w:rFonts w:ascii="Calibri" w:eastAsia="Calibri" w:hAnsi="Calibri"/>
                <w:sz w:val="20"/>
                <w:szCs w:val="20"/>
                <w:lang w:eastAsia="en-US"/>
              </w:rPr>
              <w:t xml:space="preserve">Se debería de completar la medida ofreciendo un manual de mantenimiento de piscinas completo que evitaría muchos gastos de agua por operaciones de mantenimiento mal hechas. Todo esto podría englobarse en un </w:t>
            </w:r>
            <w:r w:rsidR="00EF718C" w:rsidRPr="00EF718C">
              <w:rPr>
                <w:rFonts w:ascii="Calibri" w:eastAsia="Calibri" w:hAnsi="Calibri"/>
                <w:b/>
                <w:sz w:val="20"/>
                <w:szCs w:val="20"/>
                <w:lang w:eastAsia="en-US"/>
              </w:rPr>
              <w:t>P</w:t>
            </w:r>
            <w:r w:rsidRPr="00EF718C">
              <w:rPr>
                <w:rFonts w:ascii="Calibri" w:eastAsia="Calibri" w:hAnsi="Calibri"/>
                <w:b/>
                <w:sz w:val="20"/>
                <w:szCs w:val="20"/>
                <w:lang w:eastAsia="en-US"/>
              </w:rPr>
              <w:t xml:space="preserve">lan de </w:t>
            </w:r>
            <w:r w:rsidR="00EF718C" w:rsidRPr="00EF718C">
              <w:rPr>
                <w:rFonts w:ascii="Calibri" w:eastAsia="Calibri" w:hAnsi="Calibri"/>
                <w:b/>
                <w:sz w:val="20"/>
                <w:szCs w:val="20"/>
                <w:lang w:eastAsia="en-US"/>
              </w:rPr>
              <w:t>S</w:t>
            </w:r>
            <w:r w:rsidRPr="00EF718C">
              <w:rPr>
                <w:rFonts w:ascii="Calibri" w:eastAsia="Calibri" w:hAnsi="Calibri"/>
                <w:b/>
                <w:sz w:val="20"/>
                <w:szCs w:val="20"/>
                <w:lang w:eastAsia="en-US"/>
              </w:rPr>
              <w:t xml:space="preserve">ostenibilidad </w:t>
            </w:r>
            <w:r w:rsidR="00EF718C" w:rsidRPr="00EF718C">
              <w:rPr>
                <w:rFonts w:ascii="Calibri" w:eastAsia="Calibri" w:hAnsi="Calibri"/>
                <w:b/>
                <w:sz w:val="20"/>
                <w:szCs w:val="20"/>
                <w:lang w:eastAsia="en-US"/>
              </w:rPr>
              <w:t>para P</w:t>
            </w:r>
            <w:r w:rsidRPr="00EF718C">
              <w:rPr>
                <w:rFonts w:ascii="Calibri" w:eastAsia="Calibri" w:hAnsi="Calibri"/>
                <w:b/>
                <w:sz w:val="20"/>
                <w:szCs w:val="20"/>
                <w:lang w:eastAsia="en-US"/>
              </w:rPr>
              <w:t>iscinas</w:t>
            </w:r>
            <w:r w:rsidR="00EF718C" w:rsidRPr="00EF718C">
              <w:rPr>
                <w:rFonts w:ascii="Calibri" w:eastAsia="Calibri" w:hAnsi="Calibri"/>
                <w:b/>
                <w:sz w:val="20"/>
                <w:szCs w:val="20"/>
                <w:lang w:eastAsia="en-US"/>
              </w:rPr>
              <w:t>.</w:t>
            </w:r>
          </w:p>
        </w:tc>
      </w:tr>
    </w:tbl>
    <w:p w:rsidR="00585082" w:rsidRDefault="00EF718C"/>
    <w:p w:rsidR="001905CD" w:rsidRDefault="001905CD"/>
    <w:sectPr w:rsidR="001905C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915"/>
    <w:rsid w:val="00005BE9"/>
    <w:rsid w:val="000855B0"/>
    <w:rsid w:val="001905CD"/>
    <w:rsid w:val="00217278"/>
    <w:rsid w:val="0028234B"/>
    <w:rsid w:val="00335107"/>
    <w:rsid w:val="003D4C49"/>
    <w:rsid w:val="005A1AF9"/>
    <w:rsid w:val="005C787E"/>
    <w:rsid w:val="007753F1"/>
    <w:rsid w:val="007B3915"/>
    <w:rsid w:val="00A82A9D"/>
    <w:rsid w:val="00A97BFE"/>
    <w:rsid w:val="00B70D89"/>
    <w:rsid w:val="00D51053"/>
    <w:rsid w:val="00EF71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72"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B3915"/>
    <w:pPr>
      <w:widowControl w:val="0"/>
      <w:autoSpaceDE w:val="0"/>
      <w:autoSpaceDN w:val="0"/>
      <w:adjustRightInd w:val="0"/>
      <w:spacing w:after="0" w:line="240" w:lineRule="auto"/>
    </w:pPr>
    <w:rPr>
      <w:rFonts w:ascii="Times New Roman" w:eastAsia="Times New Roman" w:hAnsi="Times New Roman" w:cs="Times New Roman"/>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3">
    <w:name w:val="Medium Grid 1 Accent 3"/>
    <w:basedOn w:val="TableNormal"/>
    <w:uiPriority w:val="72"/>
    <w:rsid w:val="007B3915"/>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List-Accent1">
    <w:name w:val="Colorful List Accent 1"/>
    <w:basedOn w:val="TableNormal"/>
    <w:uiPriority w:val="72"/>
    <w:rsid w:val="007B391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5">
    <w:name w:val="Colorful List Accent 5"/>
    <w:basedOn w:val="TableNormal"/>
    <w:uiPriority w:val="72"/>
    <w:rsid w:val="007B391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72"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B3915"/>
    <w:pPr>
      <w:widowControl w:val="0"/>
      <w:autoSpaceDE w:val="0"/>
      <w:autoSpaceDN w:val="0"/>
      <w:adjustRightInd w:val="0"/>
      <w:spacing w:after="0" w:line="240" w:lineRule="auto"/>
    </w:pPr>
    <w:rPr>
      <w:rFonts w:ascii="Times New Roman" w:eastAsia="Times New Roman" w:hAnsi="Times New Roman" w:cs="Times New Roman"/>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3">
    <w:name w:val="Medium Grid 1 Accent 3"/>
    <w:basedOn w:val="TableNormal"/>
    <w:uiPriority w:val="72"/>
    <w:rsid w:val="007B3915"/>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List-Accent1">
    <w:name w:val="Colorful List Accent 1"/>
    <w:basedOn w:val="TableNormal"/>
    <w:uiPriority w:val="72"/>
    <w:rsid w:val="007B391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5">
    <w:name w:val="Colorful List Accent 5"/>
    <w:basedOn w:val="TableNormal"/>
    <w:uiPriority w:val="72"/>
    <w:rsid w:val="007B391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67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Luis</cp:lastModifiedBy>
  <cp:revision>2</cp:revision>
  <dcterms:created xsi:type="dcterms:W3CDTF">2014-05-19T10:33:00Z</dcterms:created>
  <dcterms:modified xsi:type="dcterms:W3CDTF">2014-05-19T10:33:00Z</dcterms:modified>
</cp:coreProperties>
</file>