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5D" w:rsidRPr="00855734" w:rsidRDefault="002B555D" w:rsidP="002B555D">
      <w:pPr>
        <w:kinsoku w:val="0"/>
        <w:overflowPunct w:val="0"/>
        <w:spacing w:before="30"/>
        <w:ind w:left="3969"/>
        <w:rPr>
          <w:rFonts w:ascii="Futura Condensed" w:hAnsi="Futura Condensed" w:cs="Futura Condensed"/>
          <w:color w:val="0C6794"/>
          <w:spacing w:val="11"/>
          <w:sz w:val="36"/>
          <w:szCs w:val="36"/>
        </w:rPr>
      </w:pPr>
      <w:r>
        <w:rPr>
          <w:rFonts w:ascii="Futura Condensed" w:hAnsi="Futura Condensed" w:cs="Futura Condensed"/>
          <w:color w:val="F1F2F2"/>
          <w:spacing w:val="-11"/>
          <w:sz w:val="36"/>
          <w:szCs w:val="36"/>
        </w:rPr>
        <w:t xml:space="preserve">                                                                        </w:t>
      </w:r>
      <w:r w:rsidRPr="00855734">
        <w:rPr>
          <w:rFonts w:ascii="Futura Condensed" w:hAnsi="Futura Condensed" w:cs="Futura Condensed"/>
          <w:color w:val="0C6794"/>
          <w:spacing w:val="11"/>
          <w:sz w:val="36"/>
          <w:szCs w:val="36"/>
        </w:rPr>
        <w:t>Territorio y configuración de la ciudad</w:t>
      </w:r>
    </w:p>
    <w:p w:rsidR="002B555D" w:rsidRDefault="002B555D" w:rsidP="002B555D">
      <w:pPr>
        <w:pStyle w:val="Textodecuerpo"/>
        <w:spacing w:after="0"/>
      </w:pPr>
    </w:p>
    <w:p w:rsidR="002B555D" w:rsidRPr="002B555D" w:rsidRDefault="002B555D" w:rsidP="002B555D">
      <w:pPr>
        <w:pStyle w:val="Textodecuerpo"/>
        <w:spacing w:after="0"/>
      </w:pPr>
    </w:p>
    <w:p w:rsidR="002B555D" w:rsidRDefault="002B555D" w:rsidP="002B555D">
      <w:pPr>
        <w:pStyle w:val="segundosttulosndice"/>
        <w:spacing w:before="0" w:after="0" w:line="240" w:lineRule="auto"/>
        <w:ind w:firstLine="0"/>
        <w:rPr>
          <w:color w:val="0C6794"/>
        </w:rPr>
      </w:pPr>
      <w:r w:rsidRPr="00855734">
        <w:rPr>
          <w:color w:val="0C6794"/>
        </w:rPr>
        <w:t>Marco de referencia – Objetivos generales</w:t>
      </w:r>
    </w:p>
    <w:p w:rsidR="002B555D" w:rsidRDefault="002B555D" w:rsidP="002B555D">
      <w:pPr>
        <w:pStyle w:val="Textodecuerpo"/>
        <w:spacing w:after="0"/>
      </w:pPr>
    </w:p>
    <w:p w:rsidR="002B555D" w:rsidRPr="002B555D" w:rsidRDefault="002B555D" w:rsidP="002B555D">
      <w:pPr>
        <w:pStyle w:val="Textodecuerpo"/>
        <w:spacing w:after="0"/>
      </w:pP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889"/>
      </w:tblGrid>
      <w:tr w:rsidR="002B555D" w:rsidRPr="005B7D85" w:rsidTr="002B555D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pStyle w:val="msolistparagraph0"/>
              <w:ind w:left="0"/>
              <w:rPr>
                <w:rFonts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D85">
              <w:rPr>
                <w:rFonts w:cs="Arial"/>
                <w:b/>
                <w:bCs/>
                <w:color w:val="808080" w:themeColor="background1" w:themeShade="80"/>
                <w:sz w:val="24"/>
                <w:szCs w:val="24"/>
              </w:rPr>
              <w:t>Desarrollo territorial y urbano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4201AB" w:rsidRDefault="002B555D" w:rsidP="002B555D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4201AB">
              <w:rPr>
                <w:rFonts w:ascii="Calibri" w:hAnsi="Calibri"/>
                <w:color w:val="808080" w:themeColor="background1" w:themeShade="80"/>
              </w:rPr>
              <w:t>Apostar -frente a los modelos urbanos dispersos- por la ciudad compacta, razonablemente densa y dotada de complejidad y variedad urbana articulada</w:t>
            </w:r>
            <w:r w:rsidRPr="005B7D85">
              <w:rPr>
                <w:rStyle w:val="Refdenotaalpie"/>
                <w:rFonts w:ascii="Calibri" w:hAnsi="Calibri"/>
                <w:color w:val="808080" w:themeColor="background1" w:themeShade="80"/>
              </w:rPr>
              <w:footnoteReference w:id="1"/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5B7D85">
              <w:rPr>
                <w:rFonts w:ascii="Calibri" w:hAnsi="Calibri"/>
                <w:color w:val="808080" w:themeColor="background1" w:themeShade="80"/>
              </w:rPr>
              <w:t>Desarrollar configuraciones urbanas que, más allá de las particularidades geográficas, tengan en cuenta las principales características comunes a las ciudades mediterráneas sostenibles como son una determinada densidad de población, niveles suficientes de compacidad urbana y una elevada complejidad en la mezcla de usos y funciones</w:t>
            </w:r>
            <w:r w:rsidRPr="005B7D85">
              <w:rPr>
                <w:rStyle w:val="Refdenotaalpie"/>
                <w:rFonts w:ascii="Calibri" w:hAnsi="Calibri"/>
                <w:color w:val="808080" w:themeColor="background1" w:themeShade="80"/>
              </w:rPr>
              <w:footnoteReference w:id="2"/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4201AB" w:rsidRDefault="002B555D" w:rsidP="002B555D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4201AB">
              <w:rPr>
                <w:rFonts w:ascii="Calibri" w:hAnsi="Calibri"/>
                <w:color w:val="808080" w:themeColor="background1" w:themeShade="80"/>
              </w:rPr>
              <w:t>Minimizar el consumo de suelo, protegiendo los espacios culturales y los elementos fundamentales de la imagen urbana y la memoria histórica, así como los recursos naturales más valiosos desde el punto de vista medioambiental, y respetando las singularidades y complementariedades entre lo urbano y lo rural</w:t>
            </w:r>
            <w:r w:rsidRPr="004201AB"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5B7D85">
              <w:rPr>
                <w:rFonts w:ascii="Calibri" w:hAnsi="Calibri"/>
                <w:color w:val="808080" w:themeColor="background1" w:themeShade="80"/>
              </w:rPr>
              <w:t>Integrar de manera sistemática la dimensión paisajística en las políticas de protección, gestión y ordenación y planificación urbanística siguiendo el Convenio Europeo del Paisaje de Florencia</w:t>
            </w:r>
            <w:r w:rsidRPr="005B7D85"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5B7D85">
              <w:rPr>
                <w:rFonts w:ascii="Calibri" w:hAnsi="Calibri"/>
                <w:color w:val="808080" w:themeColor="background1" w:themeShade="80"/>
              </w:rPr>
              <w:t>Promover una mayor integración espacial y cohesión social</w:t>
            </w:r>
            <w:r w:rsidRPr="005B7D85"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5B7D85">
              <w:rPr>
                <w:rFonts w:ascii="Calibri" w:hAnsi="Calibri"/>
                <w:color w:val="808080" w:themeColor="background1" w:themeShade="80"/>
              </w:rPr>
              <w:t>Impulsar la puesta en valor y mejora del patrimonio edificado y la regeneración urbana integrada de los tejidos consolidados frente al consumo indiscriminado de suelo rural y la construcción de obra nueva</w:t>
            </w:r>
            <w:r w:rsidRPr="005B7D85"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5B7D85">
              <w:rPr>
                <w:rFonts w:ascii="Calibri" w:hAnsi="Calibri"/>
                <w:color w:val="808080" w:themeColor="background1" w:themeShade="80"/>
              </w:rPr>
              <w:t>Aplicar un diseño y construcción sostenibles y promover la arquitectura de alta calidad favoreciendo las nuevas tecnologías de la construcción</w:t>
            </w:r>
            <w:r w:rsidRPr="005B7D85">
              <w:rPr>
                <w:rStyle w:val="Refdenotaalpie"/>
                <w:rFonts w:ascii="Calibri" w:hAnsi="Calibri"/>
                <w:color w:val="808080" w:themeColor="background1" w:themeShade="80"/>
              </w:rPr>
              <w:footnoteReference w:id="3"/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pStyle w:val="msolistparagraph0"/>
              <w:ind w:left="0"/>
              <w:rPr>
                <w:rFonts w:cs="Arial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bCs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5B7D85">
              <w:rPr>
                <w:rFonts w:cs="Arial"/>
                <w:bCs/>
                <w:color w:val="808080" w:themeColor="background1" w:themeShade="80"/>
                <w:sz w:val="24"/>
                <w:szCs w:val="24"/>
              </w:rPr>
              <w:t>Regenerar y reutilizar las zonas degradadas y abandonadas</w:t>
            </w:r>
            <w:r w:rsidRPr="005B7D85">
              <w:rPr>
                <w:rFonts w:cs="Arial"/>
                <w:bCs/>
                <w:color w:val="808080" w:themeColor="background1" w:themeShade="80"/>
                <w:sz w:val="24"/>
                <w:szCs w:val="24"/>
                <w:vertAlign w:val="superscript"/>
              </w:rPr>
              <w:t>1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pStyle w:val="msolistparagraph0"/>
              <w:ind w:left="0"/>
              <w:rPr>
                <w:rFonts w:cs="Arial"/>
                <w:color w:val="808080" w:themeColor="background1" w:themeShade="80"/>
                <w:sz w:val="24"/>
                <w:szCs w:val="24"/>
                <w:vertAlign w:val="superscript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</w:rPr>
              <w:t>Fomentar la diversidad, calidad y versatilidad de los espacios públicos urbanos</w:t>
            </w:r>
            <w:r w:rsidRPr="005B7D85">
              <w:rPr>
                <w:rStyle w:val="Refdenotaalpie"/>
                <w:rFonts w:cs="Arial"/>
                <w:color w:val="808080" w:themeColor="background1" w:themeShade="80"/>
                <w:sz w:val="24"/>
                <w:szCs w:val="24"/>
              </w:rPr>
              <w:footnoteReference w:id="4"/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pStyle w:val="msolistparagraph0"/>
              <w:ind w:left="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</w:rPr>
              <w:t>Favorecer el acceso a la naturaleza (zonas verdes)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  <w:vertAlign w:val="superscript"/>
              </w:rPr>
              <w:t>2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pStyle w:val="msolistparagraph0"/>
              <w:ind w:left="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</w:rPr>
              <w:t>Mejorar la accesibilidad a los equipamientos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  <w:vertAlign w:val="superscript"/>
              </w:rPr>
              <w:t>2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pStyle w:val="msolistparagraph0"/>
              <w:ind w:left="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</w:rPr>
              <w:t>Desde el punto de vista instrumental, se pretende superar las deficiencias y recuperar la credibilidad, potencialidad, agilidad y transparencia social de los instrumentos de planeamiento, impulsando además la coordinación a nivel vertical y horizontal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  <w:vertAlign w:val="superscript"/>
              </w:rPr>
              <w:t>1</w:t>
            </w:r>
          </w:p>
        </w:tc>
      </w:tr>
      <w:tr w:rsidR="002B555D" w:rsidRPr="005B7D85" w:rsidTr="002B555D">
        <w:trPr>
          <w:jc w:val="center"/>
        </w:trPr>
        <w:tc>
          <w:tcPr>
            <w:tcW w:w="98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2B555D" w:rsidRPr="005B7D85" w:rsidRDefault="002B555D" w:rsidP="002B555D">
            <w:pPr>
              <w:pStyle w:val="msolistparagraph0"/>
              <w:ind w:left="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</w:rPr>
              <w:t>Incorporar el metabolismo urbano al planeamiento urbanístico</w:t>
            </w:r>
            <w:r w:rsidRPr="005B7D85">
              <w:rPr>
                <w:rFonts w:cs="Arial"/>
                <w:color w:val="808080" w:themeColor="background1" w:themeShade="80"/>
                <w:sz w:val="24"/>
                <w:szCs w:val="24"/>
                <w:vertAlign w:val="superscript"/>
              </w:rPr>
              <w:t>1</w:t>
            </w:r>
          </w:p>
        </w:tc>
      </w:tr>
    </w:tbl>
    <w:p w:rsidR="000F4BA0" w:rsidRDefault="000F4BA0"/>
    <w:p w:rsidR="007751FA" w:rsidRDefault="007751FA"/>
    <w:p w:rsidR="007751FA" w:rsidRDefault="007751FA">
      <w:pPr>
        <w:sectPr w:rsidR="007751FA" w:rsidSect="002B555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E0AF2" w:rsidRPr="000D0A65" w:rsidRDefault="003E0AF2" w:rsidP="003E0AF2">
      <w:pPr>
        <w:pStyle w:val="OMAUTtulo1verde"/>
        <w:ind w:firstLine="567"/>
        <w:rPr>
          <w:color w:val="0C6794"/>
        </w:rPr>
      </w:pPr>
      <w:r w:rsidRPr="000D0A65">
        <w:rPr>
          <w:color w:val="0C6794"/>
        </w:rPr>
        <w:lastRenderedPageBreak/>
        <w:t>Metodología de trabajo</w:t>
      </w:r>
    </w:p>
    <w:p w:rsidR="003E0AF2" w:rsidRPr="000D0A65" w:rsidRDefault="003E0AF2" w:rsidP="003E0AF2">
      <w:pPr>
        <w:pStyle w:val="segundosttulosndice"/>
        <w:rPr>
          <w:rFonts w:ascii="Calibri" w:eastAsia="Calibri" w:hAnsi="Calibri"/>
          <w:bCs/>
          <w:color w:val="0C6794"/>
          <w:sz w:val="24"/>
          <w:szCs w:val="24"/>
          <w:lang w:eastAsia="en-US"/>
        </w:rPr>
      </w:pPr>
      <w:r w:rsidRPr="000D0A65">
        <w:rPr>
          <w:color w:val="0C6794"/>
          <w:sz w:val="24"/>
          <w:szCs w:val="24"/>
        </w:rPr>
        <w:t>INFORMACIÓN - conocimientos previos a través de informes técnicos, experiencia profesional, vivencia como ciudadano</w:t>
      </w:r>
      <w:r>
        <w:rPr>
          <w:color w:val="0C6794"/>
          <w:sz w:val="24"/>
          <w:szCs w:val="24"/>
        </w:rPr>
        <w:t>,…</w:t>
      </w:r>
      <w:r w:rsidRPr="000D0A65">
        <w:rPr>
          <w:rFonts w:ascii="Calibri" w:eastAsia="Calibri" w:hAnsi="Calibri"/>
          <w:bCs/>
          <w:color w:val="0C6794"/>
          <w:sz w:val="24"/>
          <w:szCs w:val="24"/>
          <w:lang w:eastAsia="en-US"/>
        </w:rPr>
        <w:t xml:space="preserve"> </w:t>
      </w:r>
    </w:p>
    <w:p w:rsidR="003E0AF2" w:rsidRPr="000D0A65" w:rsidRDefault="003E0AF2" w:rsidP="003E0AF2">
      <w:pPr>
        <w:pStyle w:val="segundosttulosndice"/>
        <w:rPr>
          <w:rFonts w:eastAsia="Calibri"/>
          <w:color w:val="0C6794"/>
          <w:sz w:val="24"/>
          <w:szCs w:val="24"/>
          <w:lang w:eastAsia="en-US"/>
        </w:rPr>
      </w:pPr>
      <w:r w:rsidRPr="000D0A65">
        <w:rPr>
          <w:rFonts w:eastAsia="Calibri"/>
          <w:color w:val="0C6794"/>
          <w:sz w:val="24"/>
          <w:szCs w:val="24"/>
          <w:lang w:eastAsia="en-US"/>
        </w:rPr>
        <w:t>TRABAJO PREVIO - reflexión individual centrada en la ficha donde se definen: problemas, objetivos, acciones,...</w:t>
      </w:r>
    </w:p>
    <w:p w:rsidR="003E0AF2" w:rsidRPr="000D0A65" w:rsidRDefault="003E0AF2" w:rsidP="003E0AF2">
      <w:pPr>
        <w:pStyle w:val="segundosttulosndice"/>
        <w:rPr>
          <w:color w:val="0C6794"/>
          <w:sz w:val="24"/>
          <w:szCs w:val="24"/>
        </w:rPr>
      </w:pPr>
      <w:r w:rsidRPr="000D0A65">
        <w:rPr>
          <w:rFonts w:eastAsia="Calibri"/>
          <w:color w:val="0C6794"/>
          <w:sz w:val="24"/>
          <w:szCs w:val="24"/>
          <w:lang w:eastAsia="en-US"/>
        </w:rPr>
        <w:t xml:space="preserve">MESAS DE TRABAJO - </w:t>
      </w:r>
      <w:r w:rsidRPr="000D0A65">
        <w:rPr>
          <w:color w:val="0C6794"/>
          <w:sz w:val="24"/>
          <w:szCs w:val="24"/>
        </w:rPr>
        <w:t>puesta en común y mejora de las aportaciones individuales y de la plataforma web</w:t>
      </w:r>
    </w:p>
    <w:p w:rsidR="003E0AF2" w:rsidRPr="000D0A65" w:rsidRDefault="003E0AF2" w:rsidP="003E0AF2">
      <w:pPr>
        <w:pStyle w:val="segundosttulosndice"/>
        <w:rPr>
          <w:rFonts w:eastAsia="Calibri"/>
          <w:color w:val="0C6794"/>
          <w:sz w:val="24"/>
          <w:szCs w:val="24"/>
        </w:rPr>
      </w:pPr>
      <w:r w:rsidRPr="000D0A65">
        <w:rPr>
          <w:rFonts w:eastAsia="Calibri"/>
          <w:color w:val="0C6794"/>
          <w:sz w:val="24"/>
          <w:szCs w:val="24"/>
        </w:rPr>
        <w:t>PUESTA EN COMÚN</w:t>
      </w:r>
      <w:r>
        <w:rPr>
          <w:rFonts w:eastAsia="Calibri"/>
          <w:color w:val="0C6794"/>
          <w:sz w:val="24"/>
          <w:szCs w:val="24"/>
        </w:rPr>
        <w:t xml:space="preserve"> - c</w:t>
      </w:r>
      <w:r w:rsidRPr="000D0A65">
        <w:rPr>
          <w:rFonts w:eastAsia="Calibri"/>
          <w:color w:val="0C6794"/>
          <w:sz w:val="24"/>
          <w:szCs w:val="24"/>
        </w:rPr>
        <w:t>onclusiones de todas las mesas de trabajo en el Foro A21</w:t>
      </w:r>
    </w:p>
    <w:p w:rsidR="003E0AF2" w:rsidRDefault="003E0AF2" w:rsidP="003E0AF2">
      <w:pPr>
        <w:pStyle w:val="Textodecuerpo"/>
        <w:rPr>
          <w:rFonts w:eastAsia="Calibri"/>
        </w:rPr>
      </w:pPr>
    </w:p>
    <w:p w:rsidR="003E0AF2" w:rsidRPr="000D0A65" w:rsidRDefault="003E0AF2" w:rsidP="00290F12">
      <w:pPr>
        <w:pStyle w:val="OMAUTtulo1verde"/>
        <w:spacing w:before="120"/>
        <w:ind w:firstLine="567"/>
        <w:rPr>
          <w:rFonts w:eastAsia="Calibri"/>
          <w:color w:val="0C6794"/>
        </w:rPr>
      </w:pPr>
      <w:r w:rsidRPr="000D0A65">
        <w:rPr>
          <w:rFonts w:eastAsia="Calibri"/>
          <w:color w:val="0C6794"/>
        </w:rPr>
        <w:t>FICHAS</w:t>
      </w:r>
    </w:p>
    <w:p w:rsidR="003E0AF2" w:rsidRPr="00C70664" w:rsidRDefault="003E0AF2" w:rsidP="003E0AF2">
      <w:pPr>
        <w:pStyle w:val="segundosttulosndice"/>
        <w:rPr>
          <w:rFonts w:ascii="Calibri" w:hAnsi="Calibri"/>
          <w:bCs/>
          <w:color w:val="auto"/>
          <w:sz w:val="24"/>
          <w:szCs w:val="24"/>
        </w:rPr>
      </w:pPr>
      <w:r w:rsidRPr="000D0A65">
        <w:rPr>
          <w:rFonts w:eastAsia="Calibri"/>
          <w:color w:val="0C6794"/>
          <w:sz w:val="24"/>
          <w:szCs w:val="24"/>
        </w:rPr>
        <w:t>Marco de referencia</w:t>
      </w:r>
      <w:r w:rsidRPr="001B2C92">
        <w:t xml:space="preserve"> </w:t>
      </w:r>
      <w:r w:rsidRPr="000D0A65">
        <w:rPr>
          <w:rFonts w:eastAsia="Calibri"/>
          <w:color w:val="0C6794"/>
          <w:sz w:val="24"/>
          <w:szCs w:val="24"/>
        </w:rPr>
        <w:t>-</w:t>
      </w:r>
      <w:r w:rsidRPr="001B2C92"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objetivos generales: recopilación de líneas y objetivos generales sobre la temática a trabajar en cada uno de los bloques extraídos de documentos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de referencia a nivel supralocal (europeo, comunitario, nacional, regional). Se consideran estos objetivos generales como líneas que marquen la definición de los problemas y la adaptación y orientación de los objetivos y actuaciones al ámbito local.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Problema -</w:t>
      </w:r>
      <w:r>
        <w:rPr>
          <w:bCs w:val="0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Descripción de las principales problemáticas detectadas en la ciudad de Málaga actualmente, asociadas a la temática de la mesa de trabajo. El problema detectado puede seguir la línea de las principales problemáticas expuestas en los documentos de referencia, o bien basadas en la experiencia profesional, experiencia como ciudadano o ciudadana o bien como colectivo o entidad representativa.  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Objetivo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definición del objetivo dirigido a solventar el problema.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Actuación propuesta -</w:t>
      </w:r>
      <w:r w:rsidRPr="001B2C92">
        <w:rPr>
          <w:rFonts w:ascii="Calibri" w:hAnsi="Calibri"/>
          <w:color w:val="auto"/>
          <w:sz w:val="24"/>
          <w:szCs w:val="24"/>
        </w:rPr>
        <w:t xml:space="preserve"> </w:t>
      </w:r>
      <w:r w:rsidR="00290F12"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descripción y definición de la actuación y actuaciones </w:t>
      </w:r>
      <w:r w:rsidRPr="001B2C92">
        <w:rPr>
          <w:rFonts w:ascii="Calibri" w:hAnsi="Calibri"/>
          <w:color w:val="auto"/>
          <w:sz w:val="24"/>
          <w:szCs w:val="24"/>
        </w:rPr>
        <w:lastRenderedPageBreak/>
        <w:t>concretas que se proponen para alcanzar el objetivo.</w:t>
      </w:r>
    </w:p>
    <w:p w:rsidR="00FD2F5E" w:rsidRDefault="00FD2F5E">
      <w:pPr>
        <w:widowControl/>
        <w:autoSpaceDE/>
        <w:autoSpaceDN/>
        <w:adjustRightInd/>
        <w:jc w:val="center"/>
        <w:rPr>
          <w:rFonts w:ascii="Futura" w:eastAsia="Calibri" w:hAnsi="Futura"/>
          <w:b/>
          <w:color w:val="0C6794"/>
        </w:rPr>
      </w:pPr>
      <w:r>
        <w:rPr>
          <w:rFonts w:eastAsia="Calibri"/>
          <w:bCs/>
          <w:color w:val="0C6794"/>
        </w:rPr>
        <w:br w:type="page"/>
      </w:r>
    </w:p>
    <w:p w:rsidR="00FD2F5E" w:rsidRDefault="00FD2F5E" w:rsidP="003E0AF2">
      <w:pPr>
        <w:pStyle w:val="OMAUTtulo2"/>
        <w:ind w:firstLine="567"/>
        <w:rPr>
          <w:rFonts w:eastAsia="Calibri"/>
          <w:bCs w:val="0"/>
          <w:color w:val="0C6794"/>
          <w:sz w:val="24"/>
          <w:szCs w:val="24"/>
        </w:rPr>
      </w:pP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Zonas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concreción territorial del pr</w:t>
      </w:r>
      <w:r>
        <w:rPr>
          <w:rFonts w:ascii="Calibri" w:hAnsi="Calibri"/>
          <w:color w:val="auto"/>
          <w:sz w:val="24"/>
          <w:szCs w:val="24"/>
        </w:rPr>
        <w:t>oblema detectado. Así se define</w:t>
      </w:r>
      <w:r w:rsidRPr="001B2C92">
        <w:rPr>
          <w:rFonts w:ascii="Calibri" w:hAnsi="Calibri"/>
          <w:color w:val="auto"/>
          <w:sz w:val="24"/>
          <w:szCs w:val="24"/>
        </w:rPr>
        <w:t xml:space="preserve"> la siguiente zonificación de forma que si se considera un problema local que afecta de igual manera en toda la ciudad, se pondría Málaga; si es un problema que se centra en una zona determinada, se incluiría: Málaga, </w:t>
      </w:r>
      <w:r>
        <w:rPr>
          <w:rFonts w:ascii="Calibri" w:hAnsi="Calibri"/>
          <w:color w:val="auto"/>
          <w:sz w:val="24"/>
          <w:szCs w:val="24"/>
        </w:rPr>
        <w:t>Zona centro</w:t>
      </w:r>
      <w:r w:rsidRPr="001B2C92">
        <w:rPr>
          <w:rFonts w:ascii="Calibri" w:hAnsi="Calibri"/>
          <w:color w:val="auto"/>
          <w:sz w:val="24"/>
          <w:szCs w:val="24"/>
        </w:rPr>
        <w:t xml:space="preserve">, Zona norte, Zona este, Zona oeste, </w:t>
      </w:r>
      <w:r>
        <w:rPr>
          <w:rFonts w:ascii="Calibri" w:hAnsi="Calibri"/>
          <w:color w:val="auto"/>
          <w:sz w:val="24"/>
          <w:szCs w:val="24"/>
        </w:rPr>
        <w:t>Centro Histórico, Ensanches</w:t>
      </w:r>
      <w:r w:rsidRPr="001B2C92">
        <w:rPr>
          <w:rFonts w:ascii="Calibri" w:hAnsi="Calibri"/>
          <w:color w:val="auto"/>
          <w:sz w:val="24"/>
          <w:szCs w:val="24"/>
        </w:rPr>
        <w:t>, Periferia</w:t>
      </w:r>
      <w:r>
        <w:rPr>
          <w:rFonts w:ascii="Calibri" w:hAnsi="Calibri"/>
          <w:color w:val="auto"/>
          <w:sz w:val="24"/>
          <w:szCs w:val="24"/>
        </w:rPr>
        <w:t>, Nuevos desarrollos urbanos.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Prioridad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cada actuación propuesta se clasificará en función de la prioridad de implementarla, en el marco de todas las propuestas presentadas como referencia. La clasificación se valorará entre 1 y 5, siendo el 1 la valoración más baja y 5 la más alta, es decir, una puntuación igual a 5 indica que la actuación tendría la máxima prioridad.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Viabilidad -</w:t>
      </w:r>
      <w:r w:rsidR="00290F12">
        <w:rPr>
          <w:rFonts w:eastAsia="Calibri"/>
          <w:bCs w:val="0"/>
          <w:color w:val="0C6794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igualmente todas las actuaciones propuestas se valorarán en función de su posibilidad de llevarla a cabo, teniendo en cuenta criterios de recursos necesarios (humanos, económicos, técnicos) y  de responsabilidades a la hora de implementarlo (Administración pública, entidades privadas, sociedad civil o ciudadanía en general). La clasificación se valorará entre 1 y 5, siendo el 1 la valoración más baja y 5 la más alta, es decir, una puntuación igual a 5 indica que</w:t>
      </w:r>
      <w:r>
        <w:rPr>
          <w:rFonts w:ascii="Calibri" w:hAnsi="Calibri"/>
          <w:color w:val="auto"/>
          <w:sz w:val="24"/>
          <w:szCs w:val="24"/>
        </w:rPr>
        <w:t xml:space="preserve"> la actuación sería muy viable.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Indicador</w:t>
      </w:r>
      <w:r w:rsidRPr="00006B84">
        <w:rPr>
          <w:bCs w:val="0"/>
          <w:sz w:val="24"/>
          <w:szCs w:val="24"/>
        </w:rPr>
        <w:t xml:space="preserve"> </w:t>
      </w:r>
      <w:r w:rsidRPr="000D0A65">
        <w:rPr>
          <w:rFonts w:eastAsia="Calibri"/>
          <w:bCs w:val="0"/>
          <w:color w:val="0C6794"/>
          <w:sz w:val="24"/>
          <w:szCs w:val="24"/>
        </w:rPr>
        <w:t>-</w:t>
      </w:r>
      <w:r>
        <w:rPr>
          <w:bCs w:val="0"/>
        </w:rPr>
        <w:t xml:space="preserve"> </w:t>
      </w:r>
      <w:r w:rsidR="00290F12">
        <w:rPr>
          <w:bCs w:val="0"/>
        </w:rPr>
        <w:t xml:space="preserve"> </w:t>
      </w:r>
      <w:r w:rsidR="007B09B0">
        <w:rPr>
          <w:rFonts w:ascii="Calibri" w:hAnsi="Calibri"/>
          <w:color w:val="auto"/>
          <w:sz w:val="24"/>
          <w:szCs w:val="24"/>
        </w:rPr>
        <w:t>s</w:t>
      </w:r>
      <w:r w:rsidRPr="001B2C92">
        <w:rPr>
          <w:rFonts w:ascii="Calibri" w:hAnsi="Calibri"/>
          <w:color w:val="auto"/>
          <w:sz w:val="24"/>
          <w:szCs w:val="24"/>
        </w:rPr>
        <w:t>elección de medidas de variables (cualitativas y cuantitativas) que nos aproximen la evolución y tendencia de las acciones en el tiempo</w:t>
      </w:r>
      <w:r>
        <w:rPr>
          <w:rFonts w:ascii="Calibri" w:hAnsi="Calibri"/>
          <w:color w:val="auto"/>
          <w:sz w:val="24"/>
          <w:szCs w:val="24"/>
        </w:rPr>
        <w:t>, tomando como referencia el actual sistema de indicadores de la Agenda o bien proponiendo nuevos indicadores o modificaciones a los ya existentes</w:t>
      </w:r>
      <w:r w:rsidRPr="001B2C92">
        <w:rPr>
          <w:rFonts w:ascii="Calibri" w:hAnsi="Calibri"/>
          <w:color w:val="auto"/>
          <w:sz w:val="24"/>
          <w:szCs w:val="24"/>
        </w:rPr>
        <w:t xml:space="preserve">. Ejemplos de variables pueden ser </w:t>
      </w:r>
      <w:r>
        <w:rPr>
          <w:rFonts w:ascii="Calibri" w:hAnsi="Calibri"/>
          <w:color w:val="auto"/>
          <w:sz w:val="24"/>
          <w:szCs w:val="24"/>
        </w:rPr>
        <w:t xml:space="preserve">número de viviendas construidas, </w:t>
      </w:r>
      <w:r w:rsidRPr="001B2C92">
        <w:rPr>
          <w:rFonts w:ascii="Calibri" w:hAnsi="Calibri"/>
          <w:color w:val="auto"/>
          <w:sz w:val="24"/>
          <w:szCs w:val="24"/>
        </w:rPr>
        <w:t>porcentaje de la población con proximidad a servicios básicos</w:t>
      </w:r>
      <w:r>
        <w:rPr>
          <w:rFonts w:ascii="Calibri" w:hAnsi="Calibri"/>
          <w:color w:val="auto"/>
          <w:sz w:val="24"/>
          <w:szCs w:val="24"/>
        </w:rPr>
        <w:t>,</w:t>
      </w:r>
      <w:r w:rsidRPr="001B2C92">
        <w:rPr>
          <w:rFonts w:ascii="Calibri" w:hAnsi="Calibri"/>
          <w:color w:val="auto"/>
          <w:sz w:val="24"/>
          <w:szCs w:val="24"/>
        </w:rPr>
        <w:t xml:space="preserve"> número de vehículos</w:t>
      </w:r>
      <w:r>
        <w:rPr>
          <w:rFonts w:ascii="Calibri" w:hAnsi="Calibri"/>
          <w:color w:val="auto"/>
          <w:sz w:val="24"/>
          <w:szCs w:val="24"/>
        </w:rPr>
        <w:t xml:space="preserve"> por habitante</w:t>
      </w:r>
      <w:r w:rsidRPr="001B2C92">
        <w:rPr>
          <w:rFonts w:ascii="Calibri" w:hAnsi="Calibri"/>
          <w:color w:val="auto"/>
          <w:sz w:val="24"/>
          <w:szCs w:val="24"/>
        </w:rPr>
        <w:t>, etc.</w:t>
      </w:r>
    </w:p>
    <w:p w:rsidR="000F4BA0" w:rsidRPr="00F44A77" w:rsidRDefault="003E0AF2" w:rsidP="00F44A77">
      <w:pPr>
        <w:spacing w:before="240" w:after="120" w:line="360" w:lineRule="auto"/>
        <w:ind w:firstLine="567"/>
        <w:rPr>
          <w:rFonts w:ascii="Calibri" w:hAnsi="Calibri"/>
          <w:b/>
        </w:rPr>
        <w:sectPr w:rsidR="000F4BA0" w:rsidRPr="00F44A77" w:rsidSect="0001328C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44A77">
        <w:rPr>
          <w:rFonts w:ascii="Futura" w:eastAsia="Calibri" w:hAnsi="Futura"/>
          <w:b/>
          <w:color w:val="0C6794"/>
        </w:rPr>
        <w:t>Meta -</w:t>
      </w:r>
      <w:r w:rsidRPr="00F44A77">
        <w:rPr>
          <w:rFonts w:ascii="Calibri" w:hAnsi="Calibri"/>
          <w:b/>
        </w:rPr>
        <w:t xml:space="preserve"> </w:t>
      </w:r>
      <w:r w:rsidR="007B09B0">
        <w:rPr>
          <w:rFonts w:ascii="Calibri" w:hAnsi="Calibri"/>
          <w:b/>
        </w:rPr>
        <w:t xml:space="preserve"> o</w:t>
      </w:r>
      <w:r w:rsidRPr="00F44A77">
        <w:rPr>
          <w:rFonts w:ascii="Calibri" w:hAnsi="Calibri"/>
          <w:b/>
        </w:rPr>
        <w:t>bjetivos mínimos prefijados por normativas o documentos de referencia en función de las distintas acciones propuestas, o bien, propuestas personalizadas del grupo de trabajo. Un ejemplo podría ser alcanzar un porcentaje de desplazamientos internos en la ciudad a través del transporte público o medios de transporte no motorizados superior al 70%.</w:t>
      </w:r>
    </w:p>
    <w:p w:rsidR="00FC3634" w:rsidRDefault="00FC3634"/>
    <w:p w:rsidR="00FD2F5E" w:rsidRPr="005C79DE" w:rsidRDefault="005C79DE">
      <w:pPr>
        <w:rPr>
          <w:rFonts w:ascii="Calibri" w:hAnsi="Calibri"/>
          <w:b/>
          <w:sz w:val="22"/>
          <w:szCs w:val="22"/>
        </w:rPr>
      </w:pPr>
      <w:r w:rsidRPr="005C79DE">
        <w:rPr>
          <w:rFonts w:ascii="Calibri" w:hAnsi="Calibri"/>
          <w:b/>
          <w:sz w:val="22"/>
          <w:szCs w:val="22"/>
        </w:rPr>
        <w:t>- EJEMPLO -</w:t>
      </w:r>
    </w:p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FD2F5E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FD2F5E" w:rsidRDefault="00FD2F5E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D2F5E" w:rsidRPr="005C79DE" w:rsidRDefault="005C79DE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  <w:t>Bajos niveles de densidad y compacidad como resultado del proceso de urbanización ocurrido en Málaga a lo largo de los últimos años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5C79DE" w:rsidRDefault="005C79D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Establecer como prioridad del planeamiento urbanístico la ciudad compacta desde el punto de vista edificatorio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:rsidR="00FD2F5E" w:rsidRPr="005C79DE" w:rsidRDefault="005C79D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Fomentar la rehabilitación, la regeneración y la renovación urbana de la ciudad consolidada como prioridad frente al crecimiento externo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FD2F5E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5C79DE" w:rsidRPr="005C79DE" w:rsidRDefault="005C79D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Centro. Ensanches. Ciudad consolidada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:rsidTr="005C7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FD2F5E" w:rsidRPr="005C79DE" w:rsidRDefault="005C79D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5 (muy alta)</w:t>
            </w:r>
          </w:p>
          <w:p w:rsidR="00FD2F5E" w:rsidRPr="009F5B0C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D2F5E" w:rsidRPr="005C79DE" w:rsidRDefault="005C79DE" w:rsidP="005C79D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4 (alta)</w:t>
            </w: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5C79DE" w:rsidRDefault="005C79D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Compacidad urbana (m2 techo / m2 </w:t>
            </w:r>
            <w:proofErr w:type="spellStart"/>
            <w:r w:rsidRPr="005C79D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sup</w:t>
            </w:r>
            <w:proofErr w:type="spellEnd"/>
            <w:r w:rsidRPr="005C79D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. urbana)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FD2F5E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5C79DE" w:rsidRDefault="005C79D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5C79D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Relación m2c/m2s &gt; 1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C3634" w:rsidRDefault="00FC3634" w:rsidP="00FC3634"/>
    <w:p w:rsidR="00FD2F5E" w:rsidRPr="00FC3634" w:rsidRDefault="00FD2F5E" w:rsidP="00FC3634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FD2F5E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FD2F5E" w:rsidRDefault="00FD2F5E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D2F5E" w:rsidRPr="00B33F04" w:rsidRDefault="00141B7F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La densidad y compacidad urbana de Málaga no aumenta, si no que por el contrario va a seguir descendiendo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Default="00141B7F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Recuperar densidades de 100 h/ha (actualmente 80)</w:t>
            </w: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F67C09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D2F5E" w:rsidRDefault="00141B7F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Modificar puntualmente el planeamiento para pasar de densidades bajas y medias a densidades medias y altas.</w:t>
            </w:r>
          </w:p>
          <w:p w:rsidR="00141B7F" w:rsidRPr="00F67C09" w:rsidRDefault="00141B7F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Dar mayor complejidad a los suelos industriales compatibles con la vivienda</w:t>
            </w:r>
          </w:p>
          <w:p w:rsidR="00FD2F5E" w:rsidRPr="00F67C09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F67C09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F67C09" w:rsidRDefault="00141B7F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Todo el suelo urbanizable y parte del suelo urbano con planeamiento</w:t>
            </w:r>
          </w:p>
        </w:tc>
      </w:tr>
      <w:tr w:rsidR="00FD2F5E" w:rsidRPr="009F5B0C" w:rsidTr="00F6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FD2F5E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D2F5E" w:rsidRPr="009F5B0C" w:rsidRDefault="00141B7F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D2F5E" w:rsidRDefault="00FD2F5E" w:rsidP="00F67C0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141B7F" w:rsidRPr="009F5B0C" w:rsidRDefault="00141B7F" w:rsidP="00F67C0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Default="00141B7F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Densidad h/ha &gt; 100, Compacidad &gt; 0,70, complejidad &gt; 4</w:t>
            </w:r>
            <w:bookmarkStart w:id="0" w:name="_GoBack"/>
            <w:bookmarkEnd w:id="0"/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FD2F5E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FD2F5E" w:rsidRPr="00E24901" w:rsidRDefault="00FD2F5E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D2F5E" w:rsidRPr="00B33F04" w:rsidRDefault="00FD2F5E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C3634" w:rsidRPr="00FC3634" w:rsidRDefault="00FC3634" w:rsidP="00FC3634"/>
    <w:p w:rsidR="00FD2F5E" w:rsidRDefault="00FD2F5E">
      <w:pPr>
        <w:widowControl/>
        <w:autoSpaceDE/>
        <w:autoSpaceDN/>
        <w:adjustRightInd/>
        <w:jc w:val="center"/>
      </w:pPr>
      <w:r>
        <w:br w:type="page"/>
      </w:r>
    </w:p>
    <w:p w:rsidR="007C2BA0" w:rsidRDefault="007C2BA0" w:rsidP="007C2BA0"/>
    <w:p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Default="007C2BA0" w:rsidP="007C2BA0"/>
    <w:p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Pr="00FC3634" w:rsidRDefault="007C2BA0" w:rsidP="007C2BA0"/>
    <w:p w:rsidR="00FD2F5E" w:rsidRDefault="00FD2F5E" w:rsidP="007C2BA0">
      <w:pPr>
        <w:widowControl/>
        <w:autoSpaceDE/>
        <w:autoSpaceDN/>
        <w:adjustRightInd/>
      </w:pPr>
      <w:r>
        <w:br w:type="page"/>
      </w:r>
    </w:p>
    <w:p w:rsidR="007C2BA0" w:rsidRDefault="007C2BA0" w:rsidP="007C2BA0"/>
    <w:p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Default="007C2BA0" w:rsidP="007C2BA0"/>
    <w:p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Pr="00FC3634" w:rsidRDefault="007C2BA0" w:rsidP="007C2BA0"/>
    <w:p w:rsidR="007C2BA0" w:rsidRDefault="007C2BA0" w:rsidP="007C2BA0">
      <w:pPr>
        <w:widowControl/>
        <w:autoSpaceDE/>
        <w:autoSpaceDN/>
        <w:adjustRightInd/>
      </w:pPr>
      <w:r>
        <w:br w:type="page"/>
      </w:r>
    </w:p>
    <w:p w:rsidR="007C2BA0" w:rsidRDefault="007C2BA0" w:rsidP="007C2BA0"/>
    <w:p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Default="007C2BA0" w:rsidP="007C2BA0"/>
    <w:p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Pr="00FC3634" w:rsidRDefault="007C2BA0" w:rsidP="007C2BA0"/>
    <w:p w:rsidR="007C2BA0" w:rsidRDefault="007C2BA0" w:rsidP="007C2BA0">
      <w:pPr>
        <w:widowControl/>
        <w:autoSpaceDE/>
        <w:autoSpaceDN/>
        <w:adjustRightInd/>
      </w:pPr>
      <w:r>
        <w:br w:type="page"/>
      </w:r>
    </w:p>
    <w:p w:rsidR="007C2BA0" w:rsidRDefault="007C2BA0" w:rsidP="007C2BA0"/>
    <w:p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Default="007C2BA0" w:rsidP="007C2BA0"/>
    <w:p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:rsidTr="00CD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F1591E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F1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7C2BA0" w:rsidRPr="009F5B0C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C2BA0" w:rsidRPr="009F5B0C" w:rsidRDefault="007C2BA0" w:rsidP="00F159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:rsidR="007C2BA0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:rsidTr="00CD2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:rsidR="007C2BA0" w:rsidRPr="00E24901" w:rsidRDefault="007C2BA0" w:rsidP="00CD2BD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C2BA0" w:rsidRPr="00B33F04" w:rsidRDefault="007C2BA0" w:rsidP="00CD2B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C2BA0" w:rsidRPr="00FC3634" w:rsidRDefault="007C2BA0" w:rsidP="007C2BA0"/>
    <w:p w:rsidR="00FC3634" w:rsidRDefault="00FC3634" w:rsidP="00FC3634"/>
    <w:p w:rsidR="00FC3634" w:rsidRDefault="00FC3634" w:rsidP="00FC3634"/>
    <w:p w:rsidR="00107EC2" w:rsidRPr="00FC3634" w:rsidRDefault="00FC3634" w:rsidP="00FC3634">
      <w:pPr>
        <w:tabs>
          <w:tab w:val="left" w:pos="4900"/>
        </w:tabs>
      </w:pPr>
      <w:r>
        <w:tab/>
      </w:r>
    </w:p>
    <w:sectPr w:rsidR="00107EC2" w:rsidRPr="00FC3634" w:rsidSect="00FC3634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59" w:rsidRDefault="006B4659" w:rsidP="000F4BA0">
      <w:r>
        <w:separator/>
      </w:r>
    </w:p>
  </w:endnote>
  <w:endnote w:type="continuationSeparator" w:id="0">
    <w:p w:rsidR="006B4659" w:rsidRDefault="006B4659" w:rsidP="000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 Condensed">
    <w:altName w:val="Arial"/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 BT">
    <w:altName w:val="Athelas Bold Italic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A0" w:rsidRDefault="00264709" w:rsidP="000F4BA0">
    <w:pPr>
      <w:pStyle w:val="Piedepgina"/>
      <w:jc w:val="center"/>
    </w:pPr>
    <w:r w:rsidRPr="003169F6">
      <w:rPr>
        <w:rStyle w:val="Nmerodepgina"/>
        <w:rFonts w:ascii="Futura" w:eastAsiaTheme="majorEastAsia" w:hAnsi="Futura" w:cs="Futura"/>
        <w:color w:val="551858"/>
      </w:rPr>
      <w:fldChar w:fldCharType="begin"/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="000F4BA0">
      <w:rPr>
        <w:rStyle w:val="Nmerodepgina"/>
        <w:rFonts w:ascii="Futura" w:eastAsiaTheme="majorEastAsia" w:hAnsi="Futura" w:cs="Futura"/>
        <w:color w:val="551858"/>
      </w:rPr>
      <w:instrText>PAGE</w:instrText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separate"/>
    </w:r>
    <w:r w:rsidR="00141B7F">
      <w:rPr>
        <w:rStyle w:val="Nmerodepgina"/>
        <w:rFonts w:ascii="Futura" w:eastAsiaTheme="majorEastAsia" w:hAnsi="Futura" w:cs="Futura"/>
        <w:noProof/>
        <w:color w:val="551858"/>
      </w:rPr>
      <w:t>5</w: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end"/>
    </w:r>
  </w:p>
  <w:p w:rsidR="000F4BA0" w:rsidRDefault="000F4BA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59" w:rsidRDefault="006B4659" w:rsidP="000F4BA0">
      <w:r>
        <w:separator/>
      </w:r>
    </w:p>
  </w:footnote>
  <w:footnote w:type="continuationSeparator" w:id="0">
    <w:p w:rsidR="006B4659" w:rsidRDefault="006B4659" w:rsidP="000F4BA0">
      <w:r>
        <w:continuationSeparator/>
      </w:r>
    </w:p>
  </w:footnote>
  <w:footnote w:id="1">
    <w:p w:rsidR="002B555D" w:rsidRPr="005B7D85" w:rsidRDefault="002B555D" w:rsidP="002B555D">
      <w:pPr>
        <w:pStyle w:val="Textonotapie"/>
        <w:rPr>
          <w:rFonts w:ascii="Futura Lt BT" w:hAnsi="Futura Lt BT"/>
          <w:color w:val="000000" w:themeColor="text1"/>
        </w:rPr>
      </w:pPr>
      <w:r w:rsidRPr="005B7D85">
        <w:rPr>
          <w:rStyle w:val="Refdenotaalpie"/>
          <w:rFonts w:ascii="Futura Lt BT" w:hAnsi="Futura Lt BT"/>
          <w:color w:val="000000" w:themeColor="text1"/>
        </w:rPr>
        <w:footnoteRef/>
      </w:r>
      <w:r w:rsidRPr="005B7D85">
        <w:rPr>
          <w:rFonts w:ascii="Futura Lt BT" w:hAnsi="Futura Lt BT"/>
          <w:color w:val="000000" w:themeColor="text1"/>
        </w:rPr>
        <w:t xml:space="preserve"> Estrategia Española de Sostenibilidad Urbana y Local</w:t>
      </w:r>
    </w:p>
  </w:footnote>
  <w:footnote w:id="2">
    <w:p w:rsidR="002B555D" w:rsidRPr="005B7D85" w:rsidRDefault="002B555D" w:rsidP="002B555D">
      <w:pPr>
        <w:pStyle w:val="Textonotapie"/>
        <w:rPr>
          <w:rFonts w:ascii="Futura Lt BT" w:hAnsi="Futura Lt BT"/>
          <w:color w:val="000000" w:themeColor="text1"/>
        </w:rPr>
      </w:pPr>
      <w:r w:rsidRPr="005B7D85">
        <w:rPr>
          <w:rStyle w:val="Refdenotaalpie"/>
          <w:rFonts w:ascii="Futura Lt BT" w:hAnsi="Futura Lt BT"/>
          <w:color w:val="000000" w:themeColor="text1"/>
        </w:rPr>
        <w:footnoteRef/>
      </w:r>
      <w:r w:rsidRPr="005B7D85">
        <w:rPr>
          <w:rFonts w:ascii="Futura Lt BT" w:hAnsi="Futura Lt BT"/>
          <w:color w:val="000000" w:themeColor="text1"/>
        </w:rPr>
        <w:t xml:space="preserve"> Carta de Málaga sobre Modelos Urbanos Sostenibles. Plataforma CAT-MED</w:t>
      </w:r>
    </w:p>
  </w:footnote>
  <w:footnote w:id="3">
    <w:p w:rsidR="002B555D" w:rsidRPr="005B7D85" w:rsidRDefault="002B555D" w:rsidP="002B555D">
      <w:pPr>
        <w:pStyle w:val="Textonotapie"/>
        <w:rPr>
          <w:rFonts w:ascii="Futura Lt BT" w:hAnsi="Futura Lt BT"/>
          <w:color w:val="000000" w:themeColor="text1"/>
        </w:rPr>
      </w:pPr>
      <w:r w:rsidRPr="005B7D85">
        <w:rPr>
          <w:rStyle w:val="Refdenotaalpie"/>
          <w:rFonts w:ascii="Futura Lt BT" w:hAnsi="Futura Lt BT"/>
          <w:color w:val="000000" w:themeColor="text1"/>
        </w:rPr>
        <w:footnoteRef/>
      </w:r>
      <w:r w:rsidRPr="005B7D85">
        <w:rPr>
          <w:rFonts w:ascii="Futura Lt BT" w:hAnsi="Futura Lt BT"/>
          <w:color w:val="000000" w:themeColor="text1"/>
        </w:rPr>
        <w:t xml:space="preserve"> Compromisos Aalborg +10</w:t>
      </w:r>
    </w:p>
  </w:footnote>
  <w:footnote w:id="4">
    <w:p w:rsidR="002B555D" w:rsidRPr="005B7D85" w:rsidRDefault="002B555D" w:rsidP="002B555D">
      <w:pPr>
        <w:pStyle w:val="Textonotapie"/>
        <w:rPr>
          <w:color w:val="000000" w:themeColor="text1"/>
        </w:rPr>
      </w:pPr>
      <w:r w:rsidRPr="005B7D85">
        <w:rPr>
          <w:rStyle w:val="Refdenotaalpie"/>
          <w:rFonts w:ascii="Futura Lt BT" w:hAnsi="Futura Lt BT"/>
          <w:color w:val="000000" w:themeColor="text1"/>
        </w:rPr>
        <w:footnoteRef/>
      </w:r>
      <w:r w:rsidRPr="005B7D85">
        <w:rPr>
          <w:rFonts w:ascii="Futura Lt BT" w:hAnsi="Futura Lt BT"/>
          <w:color w:val="000000" w:themeColor="text1"/>
        </w:rPr>
        <w:t xml:space="preserve"> Libro blanco de la sostenibilidad en el planeamiento urbanismo español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A0" w:rsidRDefault="002B555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5258163</wp:posOffset>
          </wp:positionH>
          <wp:positionV relativeFrom="paragraph">
            <wp:posOffset>-212709</wp:posOffset>
          </wp:positionV>
          <wp:extent cx="503464" cy="570016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64" cy="57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-2606</wp:posOffset>
          </wp:positionH>
          <wp:positionV relativeFrom="margin">
            <wp:posOffset>-662924</wp:posOffset>
          </wp:positionV>
          <wp:extent cx="2047256" cy="570016"/>
          <wp:effectExtent l="19050" t="0" r="0" b="0"/>
          <wp:wrapNone/>
          <wp:docPr id="6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6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C" w:rsidRDefault="00290F1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8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28C" w:rsidRDefault="0001328C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01328C" w:rsidRPr="0001328C" w:rsidRDefault="0001328C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 w:rsidRPr="0001328C">
      <w:rPr>
        <w:rFonts w:ascii="Futura" w:hAnsi="Futura" w:cs="Futura"/>
        <w:b/>
        <w:color w:val="0C6794"/>
        <w:sz w:val="20"/>
        <w:szCs w:val="20"/>
      </w:rPr>
      <w:t>Foro A21 Málaga</w:t>
    </w:r>
  </w:p>
  <w:p w:rsidR="0001328C" w:rsidRPr="0001328C" w:rsidRDefault="0001328C" w:rsidP="0001328C">
    <w:pPr>
      <w:pStyle w:val="Encabezado"/>
      <w:jc w:val="right"/>
      <w:rPr>
        <w:rFonts w:ascii="Futura" w:hAnsi="Futura" w:cs="Futura"/>
        <w:b/>
      </w:rPr>
    </w:pPr>
    <w:r w:rsidRPr="0001328C">
      <w:rPr>
        <w:rFonts w:ascii="Futura" w:hAnsi="Futura" w:cs="Futura"/>
        <w:b/>
        <w:color w:val="0C6794"/>
        <w:sz w:val="20"/>
        <w:szCs w:val="20"/>
      </w:rPr>
      <w:t>Territorio y configuración de la ciudad</w:t>
    </w:r>
    <w:r w:rsidRPr="0001328C">
      <w:rPr>
        <w:rFonts w:ascii="Futura" w:hAnsi="Futura" w:cs="Futura"/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10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941892" w:rsidRPr="0001328C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0C6794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01328C">
      <w:rPr>
        <w:rFonts w:ascii="Futura" w:hAnsi="Futura" w:cs="Futura"/>
        <w:b/>
        <w:color w:val="0C6794"/>
        <w:sz w:val="20"/>
        <w:szCs w:val="20"/>
      </w:rPr>
      <w:t>Foro A21 Málaga</w:t>
    </w:r>
  </w:p>
  <w:p w:rsidR="00941892" w:rsidRPr="0001328C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>
      <w:rPr>
        <w:rFonts w:ascii="Futura" w:hAnsi="Futura" w:cs="Futura"/>
        <w:b/>
        <w:color w:val="0C6794"/>
        <w:sz w:val="20"/>
        <w:szCs w:val="20"/>
      </w:rPr>
      <w:t>Nombre:</w:t>
    </w: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01328C">
      <w:rPr>
        <w:rFonts w:ascii="Futura" w:hAnsi="Futura" w:cs="Futura"/>
        <w:b/>
        <w:color w:val="0C6794"/>
        <w:sz w:val="20"/>
        <w:szCs w:val="20"/>
      </w:rPr>
      <w:t>Territorio y configuración de la ciudad</w:t>
    </w:r>
    <w:r w:rsidRPr="0001328C">
      <w:rPr>
        <w:rFonts w:ascii="Futura" w:hAnsi="Futura" w:cs="Futura"/>
        <w:b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0"/>
    <w:rsid w:val="0001328C"/>
    <w:rsid w:val="000C065B"/>
    <w:rsid w:val="000C0E4F"/>
    <w:rsid w:val="000F4BA0"/>
    <w:rsid w:val="00107EC2"/>
    <w:rsid w:val="00141B7F"/>
    <w:rsid w:val="00264709"/>
    <w:rsid w:val="00290F12"/>
    <w:rsid w:val="002B555D"/>
    <w:rsid w:val="003E0AF2"/>
    <w:rsid w:val="005C79DE"/>
    <w:rsid w:val="006B4659"/>
    <w:rsid w:val="007751FA"/>
    <w:rsid w:val="007B09B0"/>
    <w:rsid w:val="007C2BA0"/>
    <w:rsid w:val="00941892"/>
    <w:rsid w:val="00985580"/>
    <w:rsid w:val="009C26AE"/>
    <w:rsid w:val="00B46D56"/>
    <w:rsid w:val="00B87534"/>
    <w:rsid w:val="00D70042"/>
    <w:rsid w:val="00F1591E"/>
    <w:rsid w:val="00F44A77"/>
    <w:rsid w:val="00F67C09"/>
    <w:rsid w:val="00FC3634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decuerpo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2B555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n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decuerpo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2B555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n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C3BC-11D2-4749-B259-DB36A974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1225</Words>
  <Characters>6743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PEDRO MARIN COTS</cp:lastModifiedBy>
  <cp:revision>2</cp:revision>
  <dcterms:created xsi:type="dcterms:W3CDTF">2014-05-03T10:42:00Z</dcterms:created>
  <dcterms:modified xsi:type="dcterms:W3CDTF">2014-05-03T10:42:00Z</dcterms:modified>
</cp:coreProperties>
</file>