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5D" w:rsidRPr="00571B34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A9313F"/>
          <w:spacing w:val="11"/>
          <w:sz w:val="36"/>
          <w:szCs w:val="36"/>
        </w:rPr>
      </w:pPr>
      <w:bookmarkStart w:id="0" w:name="_GoBack"/>
      <w:bookmarkEnd w:id="0"/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="00571B34">
        <w:rPr>
          <w:rFonts w:ascii="Futura Condensed" w:hAnsi="Futura Condensed" w:cs="Futura Condensed"/>
          <w:color w:val="A9313F"/>
          <w:spacing w:val="11"/>
          <w:sz w:val="36"/>
          <w:szCs w:val="36"/>
        </w:rPr>
        <w:t>Cohesión social y desarrollo económico</w:t>
      </w:r>
    </w:p>
    <w:p w:rsidR="002B555D" w:rsidRPr="002B555D" w:rsidRDefault="002B555D" w:rsidP="002B555D">
      <w:pPr>
        <w:pStyle w:val="Textoindependiente"/>
        <w:spacing w:after="0"/>
      </w:pPr>
    </w:p>
    <w:p w:rsidR="002B555D" w:rsidRPr="00571B34" w:rsidRDefault="002B555D" w:rsidP="002B555D">
      <w:pPr>
        <w:pStyle w:val="segundosttulosndice"/>
        <w:spacing w:before="0" w:after="0" w:line="240" w:lineRule="auto"/>
        <w:ind w:firstLine="0"/>
        <w:rPr>
          <w:color w:val="A9313F"/>
        </w:rPr>
      </w:pPr>
      <w:r w:rsidRPr="00571B34">
        <w:rPr>
          <w:color w:val="A9313F"/>
        </w:rPr>
        <w:t>Marco de referencia – Objetivos generales</w:t>
      </w:r>
    </w:p>
    <w:p w:rsidR="002B555D" w:rsidRDefault="002B555D" w:rsidP="002B555D">
      <w:pPr>
        <w:pStyle w:val="Textoindependiente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DBDB" w:themeFill="accent2" w:themeFillTint="33"/>
        <w:tblLayout w:type="fixed"/>
        <w:tblLook w:val="0000"/>
      </w:tblPr>
      <w:tblGrid>
        <w:gridCol w:w="9889"/>
      </w:tblGrid>
      <w:tr w:rsidR="00A84376" w:rsidRPr="005B7D85" w:rsidTr="00A84376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C30936" w:rsidRDefault="00A84376" w:rsidP="00A8437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color w:val="808080" w:themeColor="background1" w:themeShade="80"/>
              </w:rPr>
            </w:pPr>
            <w:r w:rsidRPr="00C30936">
              <w:rPr>
                <w:rFonts w:ascii="Calibri" w:hAnsi="Calibri" w:cs="Arial"/>
                <w:b/>
                <w:bCs/>
                <w:color w:val="808080" w:themeColor="background1" w:themeShade="80"/>
              </w:rPr>
              <w:t>Cohesión social y desarrollo económico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Fomentar la “</w:t>
            </w:r>
            <w:proofErr w:type="spellStart"/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flexeguridad</w:t>
            </w:r>
            <w:proofErr w:type="spellEnd"/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” según lo acordado por el Consejo Europeo, con objeto de reducir la segmentación del mercado laboral y facilitar las transiciones, así como facilitar la conciliación entre vida laboral y familiar</w:t>
            </w:r>
            <w:r w:rsidRPr="00A84376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1"/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Revisar y controlar regularmente la eficiencia de los sistemas impositivos y de beneficios de forma que el trabajo sea atractivo, prestando una atención particular a los trabajadores poco cualificados y eliminando los obstáculos a la actividad por cuenta propia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1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Promover nuevas formas de equilibrio entre la vida laboral y familiar y políticas de envejecimiento activo e incrementar la igualdad entre sexos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1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Promover la responsabilidad colectiva e individual compartida en la lucha contra la pobreza y la exclusión social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1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Garantizar el pleno ejercicio, en condiciones de igualdad, de los derechos civiles, sociales, económicos, culturales y políticos</w:t>
            </w:r>
            <w:r w:rsidRPr="00A84376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2"/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Generar oportunidades sociales, económicas y de empleo que garanticen la calidad de vida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Mejorar los niveles de acceso y uso de los servicios y prestaciones públicas, especialmente educación, salud, empleo, servicios sociales y dependencia, por parte del conjunto de la ciudadanía y en condiciones de equidad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Adecuar las políticas públicas sectoriales y las estructuras de los servicios públicos a los retos y demandas de una sociedad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Reforzar la equidad en todas las etapas del Sistema Educativo, incluida la universitaria, la permanencia y el éxito académico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Adaptar los sistemas de acogida de personas en situación de vulnerabilidad y acogida especializada en todo el territorio nacional a las necesidades actuales derivadas de la evolución de los flujos migratorios, asegurando que les proporcionen un grado de autonomía suficiente para el acceso a bienes y servicios, ejercicio de derechos y cumplimiento de obligaciones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Fomentar políticas integrales para la igualdad de trato y de oportunidades y no discriminación que contemplen la prevención y denuncia de toda forma de racismo y xenofobia así como la protección y asistencia a las víctimas en todos los campos de la vida social, tanto en el ámbito público como en el privado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Reducir los niveles de exclusión social, marginación y pobreza, con especial énfasis en la población infantil y juvenil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Contribuir al desarrollo de una cultura democrática y participativa así como a la legitimidad institucional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Impulsar procesos de construcción y desarrollo </w:t>
            </w:r>
            <w:proofErr w:type="spellStart"/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sociocomunitario</w:t>
            </w:r>
            <w:proofErr w:type="spellEnd"/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que promuevan la convivencia intercultural, la mejora de las relaciones sociales, vecinales y laborales, el respeto a la diferencia y la gestión de la diversidad en un proyecto compartido de sociedad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A84376" w:rsidRPr="005B7D85" w:rsidTr="00A84376">
        <w:trPr>
          <w:jc w:val="center"/>
        </w:trPr>
        <w:tc>
          <w:tcPr>
            <w:tcW w:w="98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</w:tcPr>
          <w:p w:rsidR="00A84376" w:rsidRPr="00A84376" w:rsidRDefault="00A84376" w:rsidP="00A84376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A84376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La integración de la vivienda social y la que reciba ayudas públicas, junto a la vivienda de renta libre, evitando segregaciones y exclusiones sociales, generacionales y étnicas</w:t>
            </w:r>
            <w:r w:rsidRPr="00A84376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3"/>
            </w:r>
          </w:p>
        </w:tc>
      </w:tr>
    </w:tbl>
    <w:p w:rsidR="007751FA" w:rsidRDefault="007751FA"/>
    <w:p w:rsidR="007751FA" w:rsidRDefault="007751FA">
      <w:pPr>
        <w:sectPr w:rsidR="007751FA" w:rsidSect="002B555D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0AF2" w:rsidRPr="00A21DFF" w:rsidRDefault="003E0AF2" w:rsidP="003E0AF2">
      <w:pPr>
        <w:pStyle w:val="OMAUTtulo1verde"/>
        <w:ind w:firstLine="567"/>
        <w:rPr>
          <w:color w:val="A9313F"/>
        </w:rPr>
      </w:pPr>
      <w:r w:rsidRPr="00A21DFF">
        <w:rPr>
          <w:color w:val="A9313F"/>
        </w:rPr>
        <w:lastRenderedPageBreak/>
        <w:t>Metodología de trabajo</w:t>
      </w:r>
    </w:p>
    <w:p w:rsidR="003E0AF2" w:rsidRPr="00A21DFF" w:rsidRDefault="003E0AF2" w:rsidP="003E0AF2">
      <w:pPr>
        <w:pStyle w:val="segundosttulosndice"/>
        <w:rPr>
          <w:rFonts w:ascii="Calibri" w:eastAsia="Calibri" w:hAnsi="Calibri"/>
          <w:bCs/>
          <w:color w:val="A9313F"/>
          <w:sz w:val="24"/>
          <w:szCs w:val="24"/>
          <w:lang w:eastAsia="en-US"/>
        </w:rPr>
      </w:pPr>
      <w:r w:rsidRPr="00A21DFF">
        <w:rPr>
          <w:color w:val="A9313F"/>
          <w:sz w:val="24"/>
          <w:szCs w:val="24"/>
        </w:rPr>
        <w:t>INFORMACIÓN - conocimientos previos a través de informes técnicos, experiencia profesional, vivencia como ciudadano,…</w:t>
      </w:r>
      <w:r w:rsidRPr="00A21DFF">
        <w:rPr>
          <w:rFonts w:ascii="Calibri" w:eastAsia="Calibri" w:hAnsi="Calibri"/>
          <w:bCs/>
          <w:color w:val="A9313F"/>
          <w:sz w:val="24"/>
          <w:szCs w:val="24"/>
          <w:lang w:eastAsia="en-US"/>
        </w:rPr>
        <w:t xml:space="preserve"> </w:t>
      </w:r>
    </w:p>
    <w:p w:rsidR="003E0AF2" w:rsidRPr="00A21DFF" w:rsidRDefault="003E0AF2" w:rsidP="003E0AF2">
      <w:pPr>
        <w:pStyle w:val="segundosttulosndice"/>
        <w:rPr>
          <w:rFonts w:eastAsia="Calibri"/>
          <w:color w:val="A9313F"/>
          <w:sz w:val="24"/>
          <w:szCs w:val="24"/>
          <w:lang w:eastAsia="en-US"/>
        </w:rPr>
      </w:pPr>
      <w:r w:rsidRPr="00A21DFF">
        <w:rPr>
          <w:rFonts w:eastAsia="Calibri"/>
          <w:color w:val="A9313F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:rsidR="003E0AF2" w:rsidRPr="00A21DFF" w:rsidRDefault="003E0AF2" w:rsidP="003E0AF2">
      <w:pPr>
        <w:pStyle w:val="segundosttulosndice"/>
        <w:rPr>
          <w:color w:val="A9313F"/>
          <w:sz w:val="24"/>
          <w:szCs w:val="24"/>
        </w:rPr>
      </w:pPr>
      <w:r w:rsidRPr="00A21DFF">
        <w:rPr>
          <w:rFonts w:eastAsia="Calibri"/>
          <w:color w:val="A9313F"/>
          <w:sz w:val="24"/>
          <w:szCs w:val="24"/>
          <w:lang w:eastAsia="en-US"/>
        </w:rPr>
        <w:t xml:space="preserve">MESAS DE TRABAJO - </w:t>
      </w:r>
      <w:r w:rsidRPr="00A21DFF">
        <w:rPr>
          <w:color w:val="A9313F"/>
          <w:sz w:val="24"/>
          <w:szCs w:val="24"/>
        </w:rPr>
        <w:t>puesta en común y mejora de las aportaciones individuales y de la plataforma web</w:t>
      </w:r>
    </w:p>
    <w:p w:rsidR="003E0AF2" w:rsidRPr="00A21DFF" w:rsidRDefault="003E0AF2" w:rsidP="003E0AF2">
      <w:pPr>
        <w:pStyle w:val="segundosttulosndice"/>
        <w:rPr>
          <w:rFonts w:eastAsia="Calibri"/>
          <w:color w:val="A9313F"/>
          <w:sz w:val="24"/>
          <w:szCs w:val="24"/>
        </w:rPr>
      </w:pPr>
      <w:r w:rsidRPr="00A21DFF">
        <w:rPr>
          <w:rFonts w:eastAsia="Calibri"/>
          <w:color w:val="A9313F"/>
          <w:sz w:val="24"/>
          <w:szCs w:val="24"/>
        </w:rPr>
        <w:t>PUESTA EN COMÚN - conclusiones de todas las mesas de trabajo en el Foro A21</w:t>
      </w:r>
    </w:p>
    <w:p w:rsidR="003E0AF2" w:rsidRDefault="003E0AF2" w:rsidP="003E0AF2">
      <w:pPr>
        <w:pStyle w:val="Textoindependiente"/>
        <w:rPr>
          <w:rFonts w:eastAsia="Calibri"/>
        </w:rPr>
      </w:pPr>
    </w:p>
    <w:p w:rsidR="003E0AF2" w:rsidRPr="00A21DFF" w:rsidRDefault="003E0AF2" w:rsidP="00290F12">
      <w:pPr>
        <w:pStyle w:val="OMAUTtulo1verde"/>
        <w:spacing w:before="120"/>
        <w:ind w:firstLine="567"/>
        <w:rPr>
          <w:rFonts w:eastAsia="Calibri"/>
          <w:color w:val="A9313F"/>
        </w:rPr>
      </w:pPr>
      <w:r w:rsidRPr="00A21DFF">
        <w:rPr>
          <w:rFonts w:eastAsia="Calibri"/>
          <w:color w:val="A9313F"/>
        </w:rPr>
        <w:t>FICHAS</w:t>
      </w:r>
    </w:p>
    <w:p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A21DFF">
        <w:rPr>
          <w:rFonts w:eastAsia="Calibri"/>
          <w:color w:val="A9313F"/>
          <w:sz w:val="24"/>
          <w:szCs w:val="24"/>
        </w:rPr>
        <w:t>Marco de referencia</w:t>
      </w:r>
      <w:r w:rsidRPr="00A21DFF">
        <w:rPr>
          <w:color w:val="A9313F"/>
        </w:rPr>
        <w:t xml:space="preserve"> </w:t>
      </w:r>
      <w:r w:rsidRPr="00A21DFF">
        <w:rPr>
          <w:rFonts w:eastAsia="Calibri"/>
          <w:color w:val="A9313F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Problema -</w:t>
      </w:r>
      <w:r w:rsidRPr="00A21DFF">
        <w:rPr>
          <w:bCs w:val="0"/>
          <w:color w:val="A9313F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descripción y definición de la actuación y actuaciones concretas que se proponen para alcanzar el objetivo.</w:t>
      </w:r>
    </w:p>
    <w:p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 xml:space="preserve">, Zona norte, Zona este, Zona oeste, </w:t>
      </w:r>
      <w:r>
        <w:rPr>
          <w:rFonts w:ascii="Calibri" w:hAnsi="Calibri"/>
          <w:color w:val="auto"/>
          <w:sz w:val="24"/>
          <w:szCs w:val="24"/>
        </w:rPr>
        <w:t>Centro Histórico, Ensanches</w:t>
      </w:r>
      <w:r w:rsidRPr="001B2C92">
        <w:rPr>
          <w:rFonts w:ascii="Calibri" w:hAnsi="Calibri"/>
          <w:color w:val="auto"/>
          <w:sz w:val="24"/>
          <w:szCs w:val="24"/>
        </w:rPr>
        <w:t>, Periferia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A21DFF">
        <w:rPr>
          <w:rFonts w:eastAsia="Calibri"/>
          <w:bCs w:val="0"/>
          <w:color w:val="A9313F"/>
          <w:sz w:val="24"/>
          <w:szCs w:val="24"/>
        </w:rPr>
        <w:t>Indicador</w:t>
      </w:r>
      <w:r w:rsidRPr="00A21DFF">
        <w:rPr>
          <w:bCs w:val="0"/>
          <w:color w:val="A9313F"/>
          <w:sz w:val="24"/>
          <w:szCs w:val="24"/>
        </w:rPr>
        <w:t xml:space="preserve"> </w:t>
      </w:r>
      <w:r w:rsidRPr="00A21DFF">
        <w:rPr>
          <w:rFonts w:eastAsia="Calibri"/>
          <w:bCs w:val="0"/>
          <w:color w:val="A9313F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7B09B0">
        <w:rPr>
          <w:rFonts w:ascii="Calibri" w:hAnsi="Calibri"/>
          <w:color w:val="auto"/>
          <w:sz w:val="24"/>
          <w:szCs w:val="24"/>
        </w:rPr>
        <w:t>s</w:t>
      </w:r>
      <w:r w:rsidRPr="001B2C92">
        <w:rPr>
          <w:rFonts w:ascii="Calibri" w:hAnsi="Calibri"/>
          <w:color w:val="auto"/>
          <w:sz w:val="24"/>
          <w:szCs w:val="24"/>
        </w:rPr>
        <w:t>elección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 w:rsidR="00662F98">
        <w:rPr>
          <w:rFonts w:ascii="Calibri" w:hAnsi="Calibri"/>
          <w:color w:val="auto"/>
          <w:sz w:val="24"/>
          <w:szCs w:val="24"/>
        </w:rPr>
        <w:t>el porcentaje de población extranjera, evolución del PIB</w:t>
      </w:r>
      <w:r w:rsidR="007A7DAD">
        <w:rPr>
          <w:rFonts w:ascii="Calibri" w:hAnsi="Calibri"/>
          <w:color w:val="auto"/>
          <w:sz w:val="24"/>
          <w:szCs w:val="24"/>
        </w:rPr>
        <w:t xml:space="preserve"> a nivel municipal</w:t>
      </w:r>
      <w:r w:rsidRPr="001B2C92">
        <w:rPr>
          <w:rFonts w:ascii="Calibri" w:hAnsi="Calibri"/>
          <w:color w:val="auto"/>
          <w:sz w:val="24"/>
          <w:szCs w:val="24"/>
        </w:rPr>
        <w:t xml:space="preserve">, </w:t>
      </w:r>
      <w:r w:rsidR="00662F98">
        <w:rPr>
          <w:rFonts w:ascii="Calibri" w:hAnsi="Calibri"/>
          <w:color w:val="auto"/>
          <w:sz w:val="24"/>
          <w:szCs w:val="24"/>
        </w:rPr>
        <w:t xml:space="preserve">tasa de riesgo de pobreza, </w:t>
      </w:r>
      <w:r w:rsidRPr="001B2C92">
        <w:rPr>
          <w:rFonts w:ascii="Calibri" w:hAnsi="Calibri"/>
          <w:color w:val="auto"/>
          <w:sz w:val="24"/>
          <w:szCs w:val="24"/>
        </w:rPr>
        <w:t>etc.</w:t>
      </w:r>
    </w:p>
    <w:p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21DFF">
        <w:rPr>
          <w:rFonts w:ascii="Futura" w:eastAsia="Calibri" w:hAnsi="Futura"/>
          <w:b/>
          <w:color w:val="A9313F"/>
        </w:rPr>
        <w:t>Meta -</w:t>
      </w:r>
      <w:r w:rsidRPr="00F44A77">
        <w:rPr>
          <w:rFonts w:ascii="Calibri" w:hAnsi="Calibri"/>
          <w:b/>
        </w:rPr>
        <w:t xml:space="preserve"> </w:t>
      </w:r>
      <w:r w:rsidR="007B09B0">
        <w:rPr>
          <w:rFonts w:ascii="Calibri" w:hAnsi="Calibri"/>
          <w:b/>
        </w:rPr>
        <w:t xml:space="preserve"> o</w:t>
      </w:r>
      <w:r w:rsidRPr="00F44A77">
        <w:rPr>
          <w:rFonts w:ascii="Calibri" w:hAnsi="Calibri"/>
          <w:b/>
        </w:rPr>
        <w:t>bjetivos mínimos prefijados por normativas o documentos de referencia en función de las distintas acciones propuestas, o bien, propuestas personalizadas del grupo de trabajo. Un ejemplo podría ser alcanzar un</w:t>
      </w:r>
      <w:r w:rsidR="007A7DAD">
        <w:rPr>
          <w:rFonts w:ascii="Calibri" w:hAnsi="Calibri"/>
          <w:b/>
        </w:rPr>
        <w:t>a tasa de desempleo inferior al 10% de la población activa</w:t>
      </w:r>
      <w:r w:rsidRPr="00F44A77">
        <w:rPr>
          <w:rFonts w:ascii="Calibri" w:hAnsi="Calibri"/>
          <w:b/>
        </w:rPr>
        <w:t>.</w:t>
      </w:r>
    </w:p>
    <w:p w:rsidR="00FC3634" w:rsidRDefault="00FC3634"/>
    <w:p w:rsidR="00F63E1B" w:rsidRPr="00FC53C2" w:rsidRDefault="00FC53C2">
      <w:pPr>
        <w:rPr>
          <w:rFonts w:ascii="Calibri" w:hAnsi="Calibri"/>
          <w:b/>
          <w:sz w:val="22"/>
          <w:szCs w:val="22"/>
        </w:rPr>
      </w:pPr>
      <w:r w:rsidRPr="00FC53C2">
        <w:rPr>
          <w:rFonts w:ascii="Calibri" w:hAnsi="Calibri"/>
          <w:b/>
          <w:sz w:val="22"/>
          <w:szCs w:val="22"/>
        </w:rPr>
        <w:t>- EJEMPLO -</w:t>
      </w:r>
    </w:p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</w:p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  <w:t>Existencia de un alto porcentaje de población activa en situación de desempleo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Adoptar medidas desde un ámbito local que estimulen y fomenten el empleo local y la creación de empresas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</w:p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 xml:space="preserve">Establecer mecanismos que faciliten la concesión de ayudas y asesoramiento para emprendedores y </w:t>
            </w:r>
            <w:proofErr w:type="spellStart"/>
            <w:r w:rsidRPr="00FC53C2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PYMEs</w:t>
            </w:r>
            <w:proofErr w:type="spellEnd"/>
            <w:r w:rsidRPr="00FC53C2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 xml:space="preserve"> que fomenten la creación de nuevas empresas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C53C2" w:rsidRPr="00FC53C2" w:rsidRDefault="00FC53C2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Todos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5 (muy alta)</w:t>
            </w: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3 (media)</w:t>
            </w: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Porcentaje de población activa y desempleo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63E1B" w:rsidRPr="00FC53C2" w:rsidRDefault="00FC53C2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FC53C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Tasa de desempleo &lt; 10%</w:t>
            </w: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:rsidR="00F63E1B" w:rsidRPr="00FC53C2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</w:tbl>
    <w:p w:rsidR="00F63E1B" w:rsidRDefault="00F63E1B"/>
    <w:p w:rsidR="00F63E1B" w:rsidRDefault="00F63E1B"/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/>
    <w:p w:rsidR="00F63E1B" w:rsidRDefault="00F63E1B">
      <w:pPr>
        <w:widowControl/>
        <w:autoSpaceDE/>
        <w:autoSpaceDN/>
        <w:adjustRightInd/>
        <w:jc w:val="center"/>
      </w:pPr>
      <w:r>
        <w:br w:type="page"/>
      </w:r>
    </w:p>
    <w:p w:rsidR="00F63E1B" w:rsidRDefault="00F63E1B"/>
    <w:p w:rsidR="00F63E1B" w:rsidRDefault="00F63E1B"/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/>
    <w:p w:rsidR="00F63E1B" w:rsidRDefault="00F63E1B"/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/>
    <w:p w:rsidR="00F63E1B" w:rsidRDefault="00F63E1B">
      <w:pPr>
        <w:widowControl/>
        <w:autoSpaceDE/>
        <w:autoSpaceDN/>
        <w:adjustRightInd/>
        <w:jc w:val="center"/>
      </w:pPr>
      <w:r>
        <w:br w:type="page"/>
      </w:r>
    </w:p>
    <w:p w:rsidR="00FC3634" w:rsidRDefault="00FC3634" w:rsidP="00FC3634"/>
    <w:p w:rsidR="00F63E1B" w:rsidRDefault="00F63E1B" w:rsidP="00FC3634"/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 w:rsidP="00FC3634"/>
    <w:p w:rsidR="00FC3634" w:rsidRDefault="00FC3634" w:rsidP="00FC3634"/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 w:rsidP="00FC3634">
      <w:pPr>
        <w:tabs>
          <w:tab w:val="left" w:pos="4900"/>
        </w:tabs>
      </w:pPr>
    </w:p>
    <w:p w:rsidR="00F63E1B" w:rsidRDefault="00F63E1B">
      <w:pPr>
        <w:widowControl/>
        <w:autoSpaceDE/>
        <w:autoSpaceDN/>
        <w:adjustRightInd/>
        <w:jc w:val="center"/>
      </w:pPr>
      <w:r>
        <w:br w:type="page"/>
      </w:r>
    </w:p>
    <w:p w:rsidR="00F63E1B" w:rsidRDefault="00F63E1B" w:rsidP="00FC3634">
      <w:pPr>
        <w:tabs>
          <w:tab w:val="left" w:pos="4900"/>
        </w:tabs>
      </w:pPr>
    </w:p>
    <w:p w:rsidR="00F63E1B" w:rsidRDefault="00F63E1B" w:rsidP="00FC3634">
      <w:pPr>
        <w:tabs>
          <w:tab w:val="left" w:pos="4900"/>
        </w:tabs>
      </w:pPr>
    </w:p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 w:rsidP="00FC3634">
      <w:pPr>
        <w:tabs>
          <w:tab w:val="left" w:pos="4900"/>
        </w:tabs>
      </w:pPr>
    </w:p>
    <w:p w:rsidR="00F63E1B" w:rsidRDefault="00F63E1B" w:rsidP="00FC3634">
      <w:pPr>
        <w:tabs>
          <w:tab w:val="left" w:pos="4900"/>
        </w:tabs>
      </w:pPr>
    </w:p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 w:rsidP="00FC3634">
      <w:pPr>
        <w:tabs>
          <w:tab w:val="left" w:pos="4900"/>
        </w:tabs>
      </w:pPr>
    </w:p>
    <w:p w:rsidR="00F63E1B" w:rsidRDefault="00F63E1B">
      <w:pPr>
        <w:widowControl/>
        <w:autoSpaceDE/>
        <w:autoSpaceDN/>
        <w:adjustRightInd/>
        <w:jc w:val="center"/>
      </w:pPr>
      <w:r>
        <w:br w:type="page"/>
      </w:r>
    </w:p>
    <w:p w:rsidR="00F63E1B" w:rsidRDefault="00F63E1B" w:rsidP="00FC3634">
      <w:pPr>
        <w:tabs>
          <w:tab w:val="left" w:pos="4900"/>
        </w:tabs>
      </w:pPr>
    </w:p>
    <w:p w:rsidR="00F63E1B" w:rsidRDefault="00F63E1B" w:rsidP="00FC3634">
      <w:pPr>
        <w:tabs>
          <w:tab w:val="left" w:pos="4900"/>
        </w:tabs>
      </w:pPr>
    </w:p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63E1B" w:rsidRDefault="00F63E1B" w:rsidP="00FC3634">
      <w:pPr>
        <w:tabs>
          <w:tab w:val="left" w:pos="4900"/>
        </w:tabs>
      </w:pPr>
    </w:p>
    <w:p w:rsidR="00F63E1B" w:rsidRDefault="00F63E1B" w:rsidP="00FC3634">
      <w:pPr>
        <w:tabs>
          <w:tab w:val="left" w:pos="4900"/>
        </w:tabs>
      </w:pPr>
    </w:p>
    <w:tbl>
      <w:tblPr>
        <w:tblStyle w:val="Cuadrculamedia1-nfasis2"/>
        <w:tblW w:w="5000" w:type="pct"/>
        <w:tblLayout w:type="fixed"/>
        <w:tblLook w:val="04A0"/>
      </w:tblPr>
      <w:tblGrid>
        <w:gridCol w:w="1768"/>
        <w:gridCol w:w="2871"/>
        <w:gridCol w:w="1447"/>
        <w:gridCol w:w="3200"/>
      </w:tblGrid>
      <w:tr w:rsidR="00F63E1B" w:rsidRPr="009F5B0C" w:rsidTr="000B1833">
        <w:trPr>
          <w:cnfStyle w:val="1000000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F63E1B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F63E1B" w:rsidRPr="009F5B0C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63E1B" w:rsidRPr="009F5B0C" w:rsidTr="000B1833">
        <w:trPr>
          <w:cnfStyle w:val="000000100000"/>
        </w:trPr>
        <w:tc>
          <w:tcPr>
            <w:cnfStyle w:val="001000000000"/>
            <w:tcW w:w="952" w:type="pct"/>
            <w:vAlign w:val="center"/>
          </w:tcPr>
          <w:p w:rsidR="00F63E1B" w:rsidRPr="00E24901" w:rsidRDefault="00F63E1B" w:rsidP="000B1833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F63E1B" w:rsidRPr="004303D0" w:rsidRDefault="00F63E1B" w:rsidP="000B1833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07EC2" w:rsidRPr="00FC3634" w:rsidRDefault="00FC3634" w:rsidP="00FC3634">
      <w:pPr>
        <w:tabs>
          <w:tab w:val="left" w:pos="4900"/>
        </w:tabs>
      </w:pPr>
      <w:r>
        <w:tab/>
      </w:r>
    </w:p>
    <w:sectPr w:rsidR="00107EC2" w:rsidRPr="00FC3634" w:rsidSect="00FC3634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CE" w:rsidRDefault="00217DCE" w:rsidP="000F4BA0">
      <w:r>
        <w:separator/>
      </w:r>
    </w:p>
  </w:endnote>
  <w:endnote w:type="continuationSeparator" w:id="0">
    <w:p w:rsidR="00217DCE" w:rsidRDefault="00217DCE" w:rsidP="000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307710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="000F4BA0">
      <w:rPr>
        <w:rStyle w:val="Nmerodepgina"/>
        <w:rFonts w:ascii="Futura" w:eastAsiaTheme="majorEastAsia" w:hAnsi="Futura" w:cs="Futura"/>
        <w:color w:val="551858"/>
      </w:rPr>
      <w:instrText>PAGE</w:instrText>
    </w:r>
    <w:r w:rsidR="000F4BA0"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4303D0">
      <w:rPr>
        <w:rStyle w:val="Nmerodepgina"/>
        <w:rFonts w:ascii="Futura" w:eastAsiaTheme="majorEastAsia" w:hAnsi="Futura" w:cs="Futura"/>
        <w:noProof/>
        <w:color w:val="551858"/>
      </w:rPr>
      <w:t>8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:rsidR="000F4BA0" w:rsidRDefault="000F4B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CE" w:rsidRDefault="00217DCE" w:rsidP="000F4BA0">
      <w:r>
        <w:separator/>
      </w:r>
    </w:p>
  </w:footnote>
  <w:footnote w:type="continuationSeparator" w:id="0">
    <w:p w:rsidR="00217DCE" w:rsidRDefault="00217DCE" w:rsidP="000F4BA0">
      <w:r>
        <w:continuationSeparator/>
      </w:r>
    </w:p>
  </w:footnote>
  <w:footnote w:id="1">
    <w:p w:rsidR="00A84376" w:rsidRPr="00F34078" w:rsidRDefault="00A84376" w:rsidP="00A84376">
      <w:pPr>
        <w:pStyle w:val="Textonotapie"/>
        <w:rPr>
          <w:rFonts w:ascii="Futura Lt BT" w:hAnsi="Futura Lt BT"/>
        </w:rPr>
      </w:pPr>
      <w:r>
        <w:rPr>
          <w:rStyle w:val="Refdenotaalpie"/>
        </w:rPr>
        <w:footnoteRef/>
      </w:r>
      <w:r>
        <w:t xml:space="preserve"> </w:t>
      </w:r>
      <w:r w:rsidRPr="00F34078">
        <w:rPr>
          <w:rFonts w:ascii="Futura Lt BT" w:hAnsi="Futura Lt BT"/>
        </w:rPr>
        <w:t>Europa 2020_Una estrategia para un crecimiento inteligente, sostenible e integrador. “Una agenda para nuevas cualificaciones y empleo” y “Plataforma europea contra la pobreza”</w:t>
      </w:r>
    </w:p>
  </w:footnote>
  <w:footnote w:id="2">
    <w:p w:rsidR="00A84376" w:rsidRPr="00F34078" w:rsidRDefault="00A84376" w:rsidP="00A84376">
      <w:pPr>
        <w:pStyle w:val="Textonotapie"/>
        <w:rPr>
          <w:rFonts w:ascii="Futura Lt BT" w:hAnsi="Futura Lt BT"/>
        </w:rPr>
      </w:pPr>
      <w:r w:rsidRPr="00F34078">
        <w:rPr>
          <w:rStyle w:val="Refdenotaalpie"/>
          <w:rFonts w:ascii="Futura Lt BT" w:hAnsi="Futura Lt BT"/>
        </w:rPr>
        <w:footnoteRef/>
      </w:r>
      <w:r w:rsidRPr="00F34078">
        <w:rPr>
          <w:rFonts w:ascii="Futura Lt BT" w:hAnsi="Futura Lt BT"/>
        </w:rPr>
        <w:t xml:space="preserve"> Plan estratégico ciudadanía e integración. 2011-2014 Ministerio de Trabajo e Inmigración</w:t>
      </w:r>
    </w:p>
  </w:footnote>
  <w:footnote w:id="3">
    <w:p w:rsidR="00A84376" w:rsidRDefault="00A84376" w:rsidP="00A84376">
      <w:pPr>
        <w:pStyle w:val="Textonotapie"/>
      </w:pPr>
      <w:r w:rsidRPr="00F34078">
        <w:rPr>
          <w:rStyle w:val="Refdenotaalpie"/>
          <w:rFonts w:ascii="Futura Lt BT" w:hAnsi="Futura Lt BT"/>
        </w:rPr>
        <w:footnoteRef/>
      </w:r>
      <w:r w:rsidRPr="00F34078">
        <w:rPr>
          <w:rFonts w:ascii="Futura Lt BT" w:hAnsi="Futura Lt BT"/>
        </w:rPr>
        <w:t xml:space="preserve"> Carta de Málaga sobre Modelos Urbanos Sostenibles. Plataforma CAT-MED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0" w:rsidRDefault="002B55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C" w:rsidRDefault="00290F1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28C" w:rsidRDefault="0001328C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01328C" w:rsidRPr="003A18A3" w:rsidRDefault="0001328C" w:rsidP="0001328C">
    <w:pPr>
      <w:pStyle w:val="Encabezado"/>
      <w:jc w:val="right"/>
      <w:rPr>
        <w:rFonts w:ascii="Futura" w:hAnsi="Futura" w:cs="Futura"/>
        <w:b/>
        <w:color w:val="A9313F"/>
        <w:sz w:val="20"/>
        <w:szCs w:val="20"/>
      </w:rPr>
    </w:pPr>
    <w:r w:rsidRPr="003A18A3">
      <w:rPr>
        <w:rFonts w:ascii="Futura" w:hAnsi="Futura" w:cs="Futura"/>
        <w:b/>
        <w:color w:val="A9313F"/>
        <w:sz w:val="20"/>
        <w:szCs w:val="20"/>
      </w:rPr>
      <w:t>Foro A21 Málaga</w:t>
    </w:r>
  </w:p>
  <w:p w:rsidR="0001328C" w:rsidRPr="003A18A3" w:rsidRDefault="003A18A3" w:rsidP="0001328C">
    <w:pPr>
      <w:pStyle w:val="Encabezado"/>
      <w:jc w:val="right"/>
      <w:rPr>
        <w:rFonts w:ascii="Futura" w:hAnsi="Futura" w:cs="Futura"/>
        <w:b/>
        <w:color w:val="A9313F"/>
      </w:rPr>
    </w:pPr>
    <w:r>
      <w:rPr>
        <w:rFonts w:ascii="Futura" w:hAnsi="Futura" w:cs="Futura"/>
        <w:b/>
        <w:color w:val="A9313F"/>
        <w:sz w:val="20"/>
        <w:szCs w:val="20"/>
      </w:rPr>
      <w:t xml:space="preserve">Cohesión social </w:t>
    </w:r>
    <w:r w:rsidR="0001328C" w:rsidRPr="003A18A3">
      <w:rPr>
        <w:rFonts w:ascii="Futura" w:hAnsi="Futura" w:cs="Futura"/>
        <w:b/>
        <w:color w:val="A9313F"/>
        <w:sz w:val="20"/>
        <w:szCs w:val="20"/>
      </w:rPr>
      <w:t xml:space="preserve">y </w:t>
    </w:r>
    <w:r>
      <w:rPr>
        <w:rFonts w:ascii="Futura" w:hAnsi="Futura" w:cs="Futura"/>
        <w:b/>
        <w:color w:val="A9313F"/>
        <w:sz w:val="20"/>
        <w:szCs w:val="20"/>
      </w:rPr>
      <w:t>desarrollo económico</w:t>
    </w:r>
    <w:r w:rsidR="0001328C" w:rsidRPr="003A18A3">
      <w:rPr>
        <w:rFonts w:ascii="Futura" w:hAnsi="Futura" w:cs="Futura"/>
        <w:b/>
        <w:noProof/>
        <w:color w:val="A9313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1892" w:rsidRDefault="00941892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:rsidR="00941892" w:rsidRPr="007A7DAD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A9313F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7A7DAD">
      <w:rPr>
        <w:rFonts w:ascii="Futura" w:hAnsi="Futura" w:cs="Futura"/>
        <w:b/>
        <w:color w:val="A9313F"/>
        <w:sz w:val="20"/>
        <w:szCs w:val="20"/>
      </w:rPr>
      <w:t>Foro A21 Málaga</w:t>
    </w:r>
  </w:p>
  <w:p w:rsidR="00941892" w:rsidRPr="0001328C" w:rsidRDefault="00941892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 w:rsidRPr="007A7DAD">
      <w:rPr>
        <w:rFonts w:ascii="Futura" w:hAnsi="Futura" w:cs="Futura"/>
        <w:b/>
        <w:color w:val="A9313F"/>
        <w:sz w:val="20"/>
        <w:szCs w:val="20"/>
      </w:rPr>
      <w:t>Nombre:</w:t>
    </w:r>
    <w:r w:rsidRPr="007A7DAD">
      <w:rPr>
        <w:rFonts w:ascii="Futura" w:hAnsi="Futura" w:cs="Futura"/>
        <w:b/>
        <w:color w:val="A9313F"/>
        <w:sz w:val="20"/>
        <w:szCs w:val="20"/>
      </w:rPr>
      <w:tab/>
    </w:r>
    <w:r w:rsidRPr="007A7DAD">
      <w:rPr>
        <w:rFonts w:ascii="Futura" w:hAnsi="Futura" w:cs="Futura"/>
        <w:b/>
        <w:color w:val="A9313F"/>
        <w:sz w:val="20"/>
        <w:szCs w:val="20"/>
      </w:rPr>
      <w:tab/>
    </w:r>
    <w:r w:rsidR="007A7DAD" w:rsidRPr="007A7DAD">
      <w:rPr>
        <w:rFonts w:ascii="Futura" w:hAnsi="Futura" w:cs="Futura"/>
        <w:b/>
        <w:color w:val="A9313F"/>
        <w:sz w:val="20"/>
        <w:szCs w:val="20"/>
      </w:rPr>
      <w:t>Cohesión social y desarrollo económico</w:t>
    </w:r>
    <w:r w:rsidRPr="0001328C">
      <w:rPr>
        <w:rFonts w:ascii="Futura" w:hAnsi="Futura" w:cs="Futura"/>
        <w:b/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F4BA0"/>
    <w:rsid w:val="0001328C"/>
    <w:rsid w:val="000854E6"/>
    <w:rsid w:val="000C065B"/>
    <w:rsid w:val="000C0E4F"/>
    <w:rsid w:val="000F4BA0"/>
    <w:rsid w:val="00107EC2"/>
    <w:rsid w:val="00217DCE"/>
    <w:rsid w:val="00290F12"/>
    <w:rsid w:val="002B555D"/>
    <w:rsid w:val="00307710"/>
    <w:rsid w:val="003A18A3"/>
    <w:rsid w:val="003E0AF2"/>
    <w:rsid w:val="004303D0"/>
    <w:rsid w:val="00571B34"/>
    <w:rsid w:val="00662F98"/>
    <w:rsid w:val="007751FA"/>
    <w:rsid w:val="007A7DAD"/>
    <w:rsid w:val="007B09B0"/>
    <w:rsid w:val="007C2BA0"/>
    <w:rsid w:val="00941892"/>
    <w:rsid w:val="00985580"/>
    <w:rsid w:val="009C26AE"/>
    <w:rsid w:val="00A21DFF"/>
    <w:rsid w:val="00A84376"/>
    <w:rsid w:val="00B46D56"/>
    <w:rsid w:val="00B87534"/>
    <w:rsid w:val="00CC5469"/>
    <w:rsid w:val="00D70042"/>
    <w:rsid w:val="00F44A77"/>
    <w:rsid w:val="00F63E1B"/>
    <w:rsid w:val="00FC3634"/>
    <w:rsid w:val="00FC53C2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72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semiHidden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independiente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55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72"/>
    <w:rsid w:val="00F63E1B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74BE-986D-4F9B-BD32-50E692A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16</cp:revision>
  <dcterms:created xsi:type="dcterms:W3CDTF">2014-04-16T12:05:00Z</dcterms:created>
  <dcterms:modified xsi:type="dcterms:W3CDTF">2014-04-17T06:45:00Z</dcterms:modified>
</cp:coreProperties>
</file>