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D" w:rsidRPr="00855734" w:rsidRDefault="002B555D" w:rsidP="002B555D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0C6794"/>
          <w:spacing w:val="11"/>
          <w:sz w:val="36"/>
          <w:szCs w:val="36"/>
        </w:rPr>
      </w:pPr>
      <w:bookmarkStart w:id="0" w:name="_GoBack"/>
      <w:bookmarkEnd w:id="0"/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t xml:space="preserve">                                                                        </w:t>
      </w:r>
      <w:r w:rsidR="0084475F" w:rsidRPr="00FA3AE8">
        <w:rPr>
          <w:rFonts w:ascii="Futura Condensed" w:hAnsi="Futura Condensed" w:cs="Futura Condensed"/>
          <w:color w:val="16652E"/>
          <w:spacing w:val="11"/>
          <w:sz w:val="36"/>
          <w:szCs w:val="36"/>
        </w:rPr>
        <w:t>Gestión de los recursos</w:t>
      </w:r>
    </w:p>
    <w:p w:rsidR="002B555D" w:rsidRDefault="002B555D" w:rsidP="002B555D">
      <w:pPr>
        <w:pStyle w:val="Textoindependiente"/>
        <w:spacing w:after="0"/>
      </w:pPr>
    </w:p>
    <w:p w:rsidR="002B555D" w:rsidRPr="002B555D" w:rsidRDefault="002B555D" w:rsidP="002B555D">
      <w:pPr>
        <w:pStyle w:val="Textoindependiente"/>
        <w:spacing w:after="0"/>
      </w:pPr>
    </w:p>
    <w:p w:rsidR="002B555D" w:rsidRDefault="0084475F" w:rsidP="002B555D">
      <w:pPr>
        <w:pStyle w:val="segundosttulosndice"/>
        <w:spacing w:before="0" w:after="0" w:line="240" w:lineRule="auto"/>
        <w:ind w:firstLine="0"/>
        <w:rPr>
          <w:color w:val="0C6794"/>
        </w:rPr>
      </w:pPr>
      <w:r w:rsidRPr="00FA3AE8">
        <w:rPr>
          <w:color w:val="16652E"/>
        </w:rPr>
        <w:t>Marco de referencia – Objetivos generales</w:t>
      </w:r>
    </w:p>
    <w:p w:rsidR="002B555D" w:rsidRDefault="002B555D" w:rsidP="002B555D">
      <w:pPr>
        <w:pStyle w:val="Textoindependiente"/>
        <w:spacing w:after="0"/>
      </w:pPr>
    </w:p>
    <w:p w:rsidR="0084475F" w:rsidRDefault="0084475F" w:rsidP="002B555D">
      <w:pPr>
        <w:pStyle w:val="Textoindependiente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AF1DD" w:themeFill="accent3" w:themeFillTint="33"/>
        <w:tblLayout w:type="fixed"/>
        <w:tblLook w:val="0000"/>
      </w:tblPr>
      <w:tblGrid>
        <w:gridCol w:w="9889"/>
      </w:tblGrid>
      <w:tr w:rsidR="0084475F" w:rsidRPr="00E237E1" w:rsidTr="0084475F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E237E1" w:rsidRDefault="0084475F" w:rsidP="008447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color w:val="808080" w:themeColor="background1" w:themeShade="80"/>
              </w:rPr>
            </w:pPr>
            <w:r w:rsidRPr="00E237E1">
              <w:rPr>
                <w:rFonts w:ascii="Calibri" w:hAnsi="Calibri" w:cs="Arial"/>
                <w:b/>
                <w:bCs/>
                <w:color w:val="808080" w:themeColor="background1" w:themeShade="80"/>
              </w:rPr>
              <w:t>Metabolismo urbano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El respeto por los recursos naturales incluyendo el agua y el suelo, junto a la reducción de la generación de emisiones de gases de efecto invernadero, mediante la aplicación de herramientas e incentivos para fomentar la construcción y rehabilitación de edificios eficientes en el consumo y tratamiento de agua y energía</w:t>
            </w:r>
            <w:r w:rsidRPr="0084475F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1"/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Reducir las emisiones de los sectores difusos: Sector del transporte; sectores residencial, comercial e institucional, gestión de residuos, agricultura y gases </w:t>
            </w:r>
            <w:proofErr w:type="spellStart"/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fluorados</w:t>
            </w:r>
            <w:proofErr w:type="spellEnd"/>
            <w:r w:rsidRPr="0084475F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2"/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Proteger los recursos naturales más valiosos desde el punto de vista medioambiental, respetando las singularidades y complementariedades entre lo urbano y lo rural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Considerar los riesgos naturales y tecnológicos, siendo preceptivo elaborar un Mapa de Riesgos naturales del ámbito objeto de ordenación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Integrar el concepto de eficiencia energética en la organización de las ciudades, en el diseño urbanístico, en la edificación, en los sistemas de movilidad y accesibilidad y en la gestión urbana</w:t>
            </w:r>
            <w:r w:rsidRPr="0084475F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3"/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Promover un sistema de infraestructuras energéticas que garanticen el suministro energético a los ciudadanos de manera eficiente, estable y de calidad, y que facilite la integración de las energías renovables en la estructura de generación y consumo en un sistema energético cada vez más distribuido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Incorporar una oferta de servicios energéticos competitivos orientados a un uso final eficiente de la energía más que al puro abastecimiento energético.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Concienciar a la ciudadanía sobre pautas de consumo razonables que frenen el crecimiento de la demanda de energía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Adaptación de las ciudades españolas a los efectos del cambio climático. Doble desafío: adaptación y mitigación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Alcanzar el objetivo «20/20/20» en materia de clima y energía (incluido un incremento al 30 % de la reducción de emisiones si se dan las condiciones para ello)</w:t>
            </w:r>
            <w:r w:rsidRPr="0084475F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4"/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Recentrar la política de </w:t>
            </w:r>
            <w:proofErr w:type="spellStart"/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I+D+i</w:t>
            </w:r>
            <w:proofErr w:type="spellEnd"/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en los retos a los que se enfrenta nuestra sociedad como cambio climático, energía y uso eficaz de los recursos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4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Ayudar a desligar crecimiento económico y uso de recursos, reduciendo las emisiones de carbono de nuestra economía, incrementando el uso de energías renovables, modernizando nuestro sector del transporte y promoviendo un uso eficaz de la energía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4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Incentivar instrumentos de ahorro de energía que podrían incrementar la eficacia en sectores con gran consumo energético, como los basados en el uso de las TIC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4</w:t>
            </w:r>
          </w:p>
        </w:tc>
      </w:tr>
      <w:tr w:rsidR="0084475F" w:rsidRPr="00E237E1" w:rsidTr="0084475F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84475F" w:rsidRPr="0084475F" w:rsidRDefault="0084475F" w:rsidP="0084475F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Desarrollar una buena gestión de residuos que favorezca la jerarquía de gestión por parte de los productores, distribuidores y ciudadanos en general (prevención, recogida selectiva y valorización)</w:t>
            </w:r>
            <w:r w:rsidRPr="0084475F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</w:tbl>
    <w:p w:rsidR="0084475F" w:rsidRDefault="0084475F" w:rsidP="002B555D">
      <w:pPr>
        <w:pStyle w:val="Textoindependiente"/>
        <w:spacing w:after="0"/>
      </w:pPr>
    </w:p>
    <w:p w:rsidR="00740E3A" w:rsidRDefault="00740E3A">
      <w:pPr>
        <w:widowControl/>
        <w:autoSpaceDE/>
        <w:autoSpaceDN/>
        <w:adjustRightInd/>
        <w:jc w:val="center"/>
      </w:pPr>
      <w:r>
        <w:br w:type="page"/>
      </w:r>
    </w:p>
    <w:p w:rsidR="00740E3A" w:rsidRPr="00855734" w:rsidRDefault="00740E3A" w:rsidP="00740E3A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0C6794"/>
          <w:spacing w:val="11"/>
          <w:sz w:val="36"/>
          <w:szCs w:val="36"/>
        </w:rPr>
      </w:pPr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lastRenderedPageBreak/>
        <w:t xml:space="preserve">                                                                        </w:t>
      </w:r>
      <w:r w:rsidRPr="00FA3AE8">
        <w:rPr>
          <w:rFonts w:ascii="Futura Condensed" w:hAnsi="Futura Condensed" w:cs="Futura Condensed"/>
          <w:color w:val="16652E"/>
          <w:spacing w:val="11"/>
          <w:sz w:val="36"/>
          <w:szCs w:val="36"/>
        </w:rPr>
        <w:t>Gestión de los recursos</w:t>
      </w:r>
    </w:p>
    <w:p w:rsidR="00740E3A" w:rsidRDefault="00740E3A" w:rsidP="00740E3A">
      <w:pPr>
        <w:pStyle w:val="Textoindependiente"/>
        <w:spacing w:after="0"/>
      </w:pPr>
    </w:p>
    <w:p w:rsidR="00740E3A" w:rsidRPr="002B555D" w:rsidRDefault="00740E3A" w:rsidP="00740E3A">
      <w:pPr>
        <w:pStyle w:val="Textoindependiente"/>
        <w:spacing w:after="0"/>
      </w:pPr>
    </w:p>
    <w:p w:rsidR="00740E3A" w:rsidRDefault="00740E3A" w:rsidP="00740E3A">
      <w:pPr>
        <w:pStyle w:val="segundosttulosndice"/>
        <w:spacing w:before="0" w:after="0" w:line="240" w:lineRule="auto"/>
        <w:ind w:firstLine="0"/>
        <w:rPr>
          <w:color w:val="0C6794"/>
        </w:rPr>
      </w:pPr>
      <w:r w:rsidRPr="00FA3AE8">
        <w:rPr>
          <w:color w:val="16652E"/>
        </w:rPr>
        <w:t>Marco de referencia – Objetivos generales</w:t>
      </w:r>
    </w:p>
    <w:p w:rsidR="00740E3A" w:rsidRDefault="00740E3A" w:rsidP="00740E3A">
      <w:pPr>
        <w:pStyle w:val="Textoindependiente"/>
        <w:spacing w:after="0"/>
      </w:pPr>
    </w:p>
    <w:p w:rsidR="00DF51B1" w:rsidRDefault="00DF51B1" w:rsidP="00740E3A">
      <w:pPr>
        <w:pStyle w:val="Textoindependiente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AF1DD" w:themeFill="accent3" w:themeFillTint="33"/>
        <w:tblLayout w:type="fixed"/>
        <w:tblLook w:val="0000"/>
      </w:tblPr>
      <w:tblGrid>
        <w:gridCol w:w="9889"/>
      </w:tblGrid>
      <w:tr w:rsidR="00740E3A" w:rsidRPr="005B7D85" w:rsidTr="00740E3A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color w:val="808080" w:themeColor="background1" w:themeShade="80"/>
              </w:rPr>
            </w:pPr>
            <w:r w:rsidRPr="00740E3A">
              <w:rPr>
                <w:rFonts w:ascii="Calibri" w:hAnsi="Calibri" w:cs="Arial"/>
                <w:b/>
                <w:bCs/>
                <w:color w:val="808080" w:themeColor="background1" w:themeShade="80"/>
              </w:rPr>
              <w:t>Metabolismo urbano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Reducir la producción de residuos, en peso pero también en volumen, diversidad y peligrosidad, desacoplando la generación de residuos del desarrollo económico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Fomentar la recogida selectiva en origen, como estrategia para obtener materiales de calidad que tengan salida en el mercado del reciclaje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Potenciar la recogida selectiva en origen de la fracción orgánica de los residuos municipales para generar abonos orgánicos de calidad (compost)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Acomodar el sistema de gestión de residuos al sistema de gestión urbana, como un elemento más, interrelacionado con otros como la gestión del espacio público, la movilidad o el ruido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Potenciar el mercado de productos reciclados con medidas como el fomento de la compra verde pública, así como el compost con certificación ambiental de calidad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Desarrollar las infraestructuras necesarias para el tratamiento de los residuos generados, potenciando la organización territorial y la capacitación de técnicos, bajo los criterios de autosuficiencia y proximidad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Implicar y capacitar a las personas (ciudadanía y personal involucrado en organizaciones gestoras) en la gestión de residuos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Tener presente en todo momento que el agua es un recurso natural finito, aunque </w:t>
            </w:r>
            <w:proofErr w:type="spellStart"/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regenerable</w:t>
            </w:r>
            <w:proofErr w:type="spellEnd"/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, cuyo uso debe basarse en principios de racionalidad, mesura, equidad y solidaridad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Desarrollar planes integrales de gestión que tengan en cuenta, entre otros, los ciclos climáticos, la ordenación del territorio, el suministro, el saneamiento y las medidas para evitar los efectos de las sequías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Realizar una gestión integral sostenible del ciclo urbano del agua (captación, transporte, almacenamiento, potabilización, distribución, consumo, saneamiento, depuración, reutilización y vertido)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Fomentar el ahorro y la eficiencia en el uso del agua a través de mecanismos como la gestión conjunta entre los grandes usuarios (agricultura, industria y ciudad), la reutilización de agua depurada y el aprovechamiento, en su caso, del agua de lluvia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740E3A" w:rsidRPr="00844BED" w:rsidTr="00740E3A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740E3A" w:rsidRPr="00740E3A" w:rsidRDefault="00740E3A" w:rsidP="00740E3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Recuperar los escenarios sociales del agua como parte esencial del patrimonio cultural y de la memoria colectiva</w:t>
            </w:r>
            <w:r w:rsidRPr="00740E3A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</w:tbl>
    <w:p w:rsidR="00740E3A" w:rsidRDefault="00740E3A" w:rsidP="00740E3A">
      <w:pPr>
        <w:pStyle w:val="Textoindependiente"/>
        <w:spacing w:after="0"/>
      </w:pPr>
    </w:p>
    <w:p w:rsidR="007751FA" w:rsidRDefault="007751FA">
      <w:pPr>
        <w:sectPr w:rsidR="007751FA" w:rsidSect="002B555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E0AF2" w:rsidRPr="00DF51B1" w:rsidRDefault="003E0AF2" w:rsidP="003E0AF2">
      <w:pPr>
        <w:pStyle w:val="OMAUTtulo1verde"/>
        <w:ind w:firstLine="567"/>
        <w:rPr>
          <w:color w:val="16652E"/>
        </w:rPr>
      </w:pPr>
      <w:r w:rsidRPr="00DF51B1">
        <w:rPr>
          <w:color w:val="16652E"/>
        </w:rPr>
        <w:lastRenderedPageBreak/>
        <w:t>Metodología de trabajo</w:t>
      </w:r>
    </w:p>
    <w:p w:rsidR="003E0AF2" w:rsidRPr="00DF51B1" w:rsidRDefault="003E0AF2" w:rsidP="003E0AF2">
      <w:pPr>
        <w:pStyle w:val="segundosttulosndice"/>
        <w:rPr>
          <w:rFonts w:ascii="Calibri" w:eastAsia="Calibri" w:hAnsi="Calibri"/>
          <w:bCs/>
          <w:color w:val="16652E"/>
          <w:sz w:val="24"/>
          <w:szCs w:val="24"/>
          <w:lang w:eastAsia="en-US"/>
        </w:rPr>
      </w:pPr>
      <w:r w:rsidRPr="00DF51B1">
        <w:rPr>
          <w:color w:val="16652E"/>
          <w:sz w:val="24"/>
          <w:szCs w:val="24"/>
        </w:rPr>
        <w:t>INFORMACIÓN - conocimientos previos a través de informes técnicos, experiencia profesional, vivencia como ciudadano,…</w:t>
      </w:r>
      <w:r w:rsidRPr="00DF51B1">
        <w:rPr>
          <w:rFonts w:ascii="Calibri" w:eastAsia="Calibri" w:hAnsi="Calibri"/>
          <w:bCs/>
          <w:color w:val="16652E"/>
          <w:sz w:val="24"/>
          <w:szCs w:val="24"/>
          <w:lang w:eastAsia="en-US"/>
        </w:rPr>
        <w:t xml:space="preserve"> </w:t>
      </w:r>
    </w:p>
    <w:p w:rsidR="003E0AF2" w:rsidRPr="00DF51B1" w:rsidRDefault="003E0AF2" w:rsidP="003E0AF2">
      <w:pPr>
        <w:pStyle w:val="segundosttulosndice"/>
        <w:rPr>
          <w:rFonts w:eastAsia="Calibri"/>
          <w:color w:val="16652E"/>
          <w:sz w:val="24"/>
          <w:szCs w:val="24"/>
          <w:lang w:eastAsia="en-US"/>
        </w:rPr>
      </w:pPr>
      <w:r w:rsidRPr="00DF51B1">
        <w:rPr>
          <w:rFonts w:eastAsia="Calibri"/>
          <w:color w:val="16652E"/>
          <w:sz w:val="24"/>
          <w:szCs w:val="24"/>
          <w:lang w:eastAsia="en-US"/>
        </w:rPr>
        <w:t>TRABAJO PREVIO - reflexión individual centrada en la ficha donde se definen: problemas, objetivos, acciones,...</w:t>
      </w:r>
    </w:p>
    <w:p w:rsidR="003E0AF2" w:rsidRPr="00DF51B1" w:rsidRDefault="003E0AF2" w:rsidP="003E0AF2">
      <w:pPr>
        <w:pStyle w:val="segundosttulosndice"/>
        <w:rPr>
          <w:color w:val="16652E"/>
          <w:sz w:val="24"/>
          <w:szCs w:val="24"/>
        </w:rPr>
      </w:pPr>
      <w:r w:rsidRPr="00DF51B1">
        <w:rPr>
          <w:rFonts w:eastAsia="Calibri"/>
          <w:color w:val="16652E"/>
          <w:sz w:val="24"/>
          <w:szCs w:val="24"/>
          <w:lang w:eastAsia="en-US"/>
        </w:rPr>
        <w:t xml:space="preserve">MESAS DE TRABAJO - </w:t>
      </w:r>
      <w:r w:rsidRPr="00DF51B1">
        <w:rPr>
          <w:color w:val="16652E"/>
          <w:sz w:val="24"/>
          <w:szCs w:val="24"/>
        </w:rPr>
        <w:t>puesta en común y mejora de las aportaciones individuales y de la plataforma web</w:t>
      </w:r>
    </w:p>
    <w:p w:rsidR="003E0AF2" w:rsidRPr="00DF51B1" w:rsidRDefault="003E0AF2" w:rsidP="003E0AF2">
      <w:pPr>
        <w:pStyle w:val="segundosttulosndice"/>
        <w:rPr>
          <w:rFonts w:eastAsia="Calibri"/>
          <w:color w:val="16652E"/>
          <w:sz w:val="24"/>
          <w:szCs w:val="24"/>
        </w:rPr>
      </w:pPr>
      <w:r w:rsidRPr="00DF51B1">
        <w:rPr>
          <w:rFonts w:eastAsia="Calibri"/>
          <w:color w:val="16652E"/>
          <w:sz w:val="24"/>
          <w:szCs w:val="24"/>
        </w:rPr>
        <w:t>PUESTA EN COMÚN - conclusiones de todas las mesas de trabajo en el Foro A21</w:t>
      </w:r>
    </w:p>
    <w:p w:rsidR="003E0AF2" w:rsidRDefault="003E0AF2" w:rsidP="003E0AF2">
      <w:pPr>
        <w:pStyle w:val="Textoindependiente"/>
        <w:rPr>
          <w:rFonts w:eastAsia="Calibri"/>
        </w:rPr>
      </w:pPr>
    </w:p>
    <w:p w:rsidR="003E0AF2" w:rsidRPr="00DF51B1" w:rsidRDefault="003E0AF2" w:rsidP="00290F12">
      <w:pPr>
        <w:pStyle w:val="OMAUTtulo1verde"/>
        <w:spacing w:before="120"/>
        <w:ind w:firstLine="567"/>
        <w:rPr>
          <w:rFonts w:eastAsia="Calibri"/>
          <w:color w:val="16652E"/>
        </w:rPr>
      </w:pPr>
      <w:r w:rsidRPr="00DF51B1">
        <w:rPr>
          <w:rFonts w:eastAsia="Calibri"/>
          <w:color w:val="16652E"/>
        </w:rPr>
        <w:t>FICHAS</w:t>
      </w:r>
    </w:p>
    <w:p w:rsidR="003E0AF2" w:rsidRPr="00C70664" w:rsidRDefault="003E0AF2" w:rsidP="003E0AF2">
      <w:pPr>
        <w:pStyle w:val="segundosttulosndice"/>
        <w:rPr>
          <w:rFonts w:ascii="Calibri" w:hAnsi="Calibri"/>
          <w:bCs/>
          <w:color w:val="auto"/>
          <w:sz w:val="24"/>
          <w:szCs w:val="24"/>
        </w:rPr>
      </w:pPr>
      <w:r w:rsidRPr="00DF51B1">
        <w:rPr>
          <w:rFonts w:eastAsia="Calibri"/>
          <w:color w:val="16652E"/>
          <w:sz w:val="24"/>
          <w:szCs w:val="24"/>
        </w:rPr>
        <w:t>Marco de referencia</w:t>
      </w:r>
      <w:r w:rsidRPr="00DF51B1">
        <w:rPr>
          <w:color w:val="16652E"/>
        </w:rPr>
        <w:t xml:space="preserve"> </w:t>
      </w:r>
      <w:r w:rsidRPr="00DF51B1">
        <w:rPr>
          <w:rFonts w:eastAsia="Calibri"/>
          <w:color w:val="16652E"/>
          <w:sz w:val="24"/>
          <w:szCs w:val="24"/>
        </w:rPr>
        <w:t>-</w:t>
      </w:r>
      <w:r w:rsidRPr="001B2C92"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objetivos generales: recopilación de líneas y objetivos generales sobre la temática a trabajar en cada uno de los bloques extraídos de documentos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de referencia a nivel supralocal (europeo, comunitario, nacional, regional). Se consideran estos objetivos generales como líneas que marquen la definición de los problemas y la adaptación y orientación de los objetivos y actuaciones al ámbito local.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Problema -</w:t>
      </w:r>
      <w:r>
        <w:rPr>
          <w:bCs w:val="0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Descripción de las principales problemáticas detectadas en la ciudad de Málaga actualmente, asociadas a la temática de la mesa de trabajo. El problema detectado puede seguir la línea de las principales problemáticas expuestas en los documentos de referencia, o bien basadas en la experiencia profesional, experiencia como ciudadano o ciudadana o bien como colectivo o entidad representativa.  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Objetivo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definición del objetivo dirigido a solventar el problema.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Actuación propuesta -</w:t>
      </w:r>
      <w:r w:rsidRPr="001B2C92">
        <w:rPr>
          <w:rFonts w:ascii="Calibri" w:hAnsi="Calibri"/>
          <w:color w:val="auto"/>
          <w:sz w:val="24"/>
          <w:szCs w:val="24"/>
        </w:rPr>
        <w:t xml:space="preserve"> </w:t>
      </w:r>
      <w:r w:rsidR="00290F12"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descripción y definición de la actuación y actuaciones concretas que se proponen para alcanzar el objetivo.</w:t>
      </w:r>
    </w:p>
    <w:p w:rsidR="00FD2F5E" w:rsidRDefault="00FD2F5E">
      <w:pPr>
        <w:widowControl/>
        <w:autoSpaceDE/>
        <w:autoSpaceDN/>
        <w:adjustRightInd/>
        <w:jc w:val="center"/>
        <w:rPr>
          <w:rFonts w:ascii="Futura" w:eastAsia="Calibri" w:hAnsi="Futura"/>
          <w:b/>
          <w:color w:val="0C6794"/>
        </w:rPr>
      </w:pPr>
      <w:r>
        <w:rPr>
          <w:rFonts w:eastAsia="Calibri"/>
          <w:bCs/>
          <w:color w:val="0C6794"/>
        </w:rPr>
        <w:br w:type="page"/>
      </w:r>
    </w:p>
    <w:p w:rsidR="00FD2F5E" w:rsidRDefault="00FD2F5E" w:rsidP="003E0AF2">
      <w:pPr>
        <w:pStyle w:val="OMAUTtulo2"/>
        <w:ind w:firstLine="567"/>
        <w:rPr>
          <w:rFonts w:eastAsia="Calibri"/>
          <w:bCs w:val="0"/>
          <w:color w:val="0C6794"/>
          <w:sz w:val="24"/>
          <w:szCs w:val="24"/>
        </w:rPr>
      </w:pP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Zonas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concreción territorial del pr</w:t>
      </w:r>
      <w:r>
        <w:rPr>
          <w:rFonts w:ascii="Calibri" w:hAnsi="Calibri"/>
          <w:color w:val="auto"/>
          <w:sz w:val="24"/>
          <w:szCs w:val="24"/>
        </w:rPr>
        <w:t>oblema detectado. Así se define</w:t>
      </w:r>
      <w:r w:rsidRPr="001B2C92">
        <w:rPr>
          <w:rFonts w:ascii="Calibri" w:hAnsi="Calibri"/>
          <w:color w:val="auto"/>
          <w:sz w:val="24"/>
          <w:szCs w:val="24"/>
        </w:rPr>
        <w:t xml:space="preserve"> la siguiente zonificación de forma que si se considera un problema local que afecta de igual manera en toda la ciudad, se pondría Málaga; si es un problema que se centra en una zona determinada, se incluiría: Málaga, </w:t>
      </w:r>
      <w:r>
        <w:rPr>
          <w:rFonts w:ascii="Calibri" w:hAnsi="Calibri"/>
          <w:color w:val="auto"/>
          <w:sz w:val="24"/>
          <w:szCs w:val="24"/>
        </w:rPr>
        <w:t>Zona centro</w:t>
      </w:r>
      <w:r w:rsidRPr="001B2C92">
        <w:rPr>
          <w:rFonts w:ascii="Calibri" w:hAnsi="Calibri"/>
          <w:color w:val="auto"/>
          <w:sz w:val="24"/>
          <w:szCs w:val="24"/>
        </w:rPr>
        <w:t xml:space="preserve">, Zona norte, Zona este, Zona oeste, </w:t>
      </w:r>
      <w:r w:rsidR="00DF51B1">
        <w:rPr>
          <w:rFonts w:ascii="Calibri" w:hAnsi="Calibri"/>
          <w:color w:val="auto"/>
          <w:sz w:val="24"/>
          <w:szCs w:val="24"/>
        </w:rPr>
        <w:t>Superficie urbana</w:t>
      </w:r>
      <w:r>
        <w:rPr>
          <w:rFonts w:ascii="Calibri" w:hAnsi="Calibri"/>
          <w:color w:val="auto"/>
          <w:sz w:val="24"/>
          <w:szCs w:val="24"/>
        </w:rPr>
        <w:t>, E</w:t>
      </w:r>
      <w:r w:rsidR="00DF51B1">
        <w:rPr>
          <w:rFonts w:ascii="Calibri" w:hAnsi="Calibri"/>
          <w:color w:val="auto"/>
          <w:sz w:val="24"/>
          <w:szCs w:val="24"/>
        </w:rPr>
        <w:t>spacios naturales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Prioridad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cada actuación propuesta se clasificará en función de la prioridad de implementarla, en el marco de todas las propuestas presentadas como referencia. La clasificación se valorará entre 1 y 5, siendo el 1 la valoración más baja y 5 la más alta, es decir, una puntuación igual a 5 indica que la actuación tendría la máxima prioridad.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Viabilidad -</w:t>
      </w:r>
      <w:r w:rsidR="00290F12">
        <w:rPr>
          <w:rFonts w:eastAsia="Calibri"/>
          <w:bCs w:val="0"/>
          <w:color w:val="0C6794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igualmente todas las actuaciones propuestas se valorarán en función de su posibilidad de llevarla a cabo, teniendo en cuenta criterios de recursos necesarios (humanos, económicos, técnicos) y  de responsabilidades a la hora de implementarlo (Administración pública, entidades privadas, sociedad civil o ciudadanía en general). La clasificación se valorará entre 1 y 5, siendo el 1 la valoración más baja y 5 la más alta, es decir, una puntuación igual a 5 indica que</w:t>
      </w:r>
      <w:r>
        <w:rPr>
          <w:rFonts w:ascii="Calibri" w:hAnsi="Calibri"/>
          <w:color w:val="auto"/>
          <w:sz w:val="24"/>
          <w:szCs w:val="24"/>
        </w:rPr>
        <w:t xml:space="preserve"> la actuación sería muy viable.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DF51B1">
        <w:rPr>
          <w:rFonts w:eastAsia="Calibri"/>
          <w:bCs w:val="0"/>
          <w:color w:val="16652E"/>
          <w:sz w:val="24"/>
          <w:szCs w:val="24"/>
        </w:rPr>
        <w:t>Indicador</w:t>
      </w:r>
      <w:r w:rsidRPr="00DF51B1">
        <w:rPr>
          <w:bCs w:val="0"/>
          <w:color w:val="16652E"/>
          <w:sz w:val="24"/>
          <w:szCs w:val="24"/>
        </w:rPr>
        <w:t xml:space="preserve"> </w:t>
      </w:r>
      <w:r w:rsidRPr="00DF51B1">
        <w:rPr>
          <w:rFonts w:eastAsia="Calibri"/>
          <w:bCs w:val="0"/>
          <w:color w:val="16652E"/>
          <w:sz w:val="24"/>
          <w:szCs w:val="24"/>
        </w:rPr>
        <w:t>-</w:t>
      </w:r>
      <w:r>
        <w:rPr>
          <w:bCs w:val="0"/>
        </w:rPr>
        <w:t xml:space="preserve"> </w:t>
      </w:r>
      <w:r w:rsidR="00290F12">
        <w:rPr>
          <w:bCs w:val="0"/>
        </w:rPr>
        <w:t xml:space="preserve"> </w:t>
      </w:r>
      <w:r w:rsidR="0002740D">
        <w:rPr>
          <w:rFonts w:ascii="Calibri" w:hAnsi="Calibri"/>
          <w:color w:val="auto"/>
          <w:sz w:val="24"/>
          <w:szCs w:val="24"/>
        </w:rPr>
        <w:t>se</w:t>
      </w:r>
      <w:r w:rsidRPr="001B2C92">
        <w:rPr>
          <w:rFonts w:ascii="Calibri" w:hAnsi="Calibri"/>
          <w:color w:val="auto"/>
          <w:sz w:val="24"/>
          <w:szCs w:val="24"/>
        </w:rPr>
        <w:t>lección de medidas de variables (cualitativas y cuantitativas) que nos aproximen la evolución y tendencia de las acciones en el tiempo</w:t>
      </w:r>
      <w:r>
        <w:rPr>
          <w:rFonts w:ascii="Calibri" w:hAnsi="Calibri"/>
          <w:color w:val="auto"/>
          <w:sz w:val="24"/>
          <w:szCs w:val="24"/>
        </w:rPr>
        <w:t>, tomando como referencia el actual sistema de indicadores de la Agenda o bien proponiendo nuevos indicadores o modificaciones a los ya existentes</w:t>
      </w:r>
      <w:r w:rsidRPr="001B2C92">
        <w:rPr>
          <w:rFonts w:ascii="Calibri" w:hAnsi="Calibri"/>
          <w:color w:val="auto"/>
          <w:sz w:val="24"/>
          <w:szCs w:val="24"/>
        </w:rPr>
        <w:t xml:space="preserve">. Ejemplos de variables pueden ser </w:t>
      </w:r>
      <w:r w:rsidR="00E017FE">
        <w:rPr>
          <w:rFonts w:ascii="Calibri" w:hAnsi="Calibri"/>
          <w:color w:val="auto"/>
          <w:sz w:val="24"/>
          <w:szCs w:val="24"/>
        </w:rPr>
        <w:t xml:space="preserve">el </w:t>
      </w:r>
      <w:r w:rsidR="00DF51B1">
        <w:rPr>
          <w:rFonts w:ascii="Calibri" w:hAnsi="Calibri"/>
          <w:color w:val="auto"/>
          <w:sz w:val="24"/>
          <w:szCs w:val="24"/>
        </w:rPr>
        <w:t xml:space="preserve">consumo de agua por habitante, emisión de </w:t>
      </w:r>
      <w:proofErr w:type="spellStart"/>
      <w:r w:rsidR="00DF51B1">
        <w:rPr>
          <w:rFonts w:ascii="Calibri" w:hAnsi="Calibri"/>
          <w:color w:val="auto"/>
          <w:sz w:val="24"/>
          <w:szCs w:val="24"/>
        </w:rPr>
        <w:t>GEIs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, </w:t>
      </w:r>
      <w:r w:rsidR="0002740D">
        <w:rPr>
          <w:rFonts w:ascii="Calibri" w:hAnsi="Calibri"/>
          <w:color w:val="auto"/>
          <w:sz w:val="24"/>
          <w:szCs w:val="24"/>
        </w:rPr>
        <w:t>superficie ocupada por los distintos hábitats</w:t>
      </w:r>
      <w:r w:rsidRPr="001B2C92">
        <w:rPr>
          <w:rFonts w:ascii="Calibri" w:hAnsi="Calibri"/>
          <w:color w:val="auto"/>
          <w:sz w:val="24"/>
          <w:szCs w:val="24"/>
        </w:rPr>
        <w:t>, etc.</w:t>
      </w:r>
    </w:p>
    <w:p w:rsidR="000F4BA0" w:rsidRPr="00F44A77" w:rsidRDefault="003E0AF2" w:rsidP="00F44A77">
      <w:pPr>
        <w:spacing w:before="240" w:after="120" w:line="360" w:lineRule="auto"/>
        <w:ind w:firstLine="567"/>
        <w:rPr>
          <w:rFonts w:ascii="Calibri" w:hAnsi="Calibri"/>
          <w:b/>
        </w:rPr>
        <w:sectPr w:rsidR="000F4BA0" w:rsidRPr="00F44A77" w:rsidSect="0001328C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2740D">
        <w:rPr>
          <w:rFonts w:ascii="Futura" w:eastAsia="Calibri" w:hAnsi="Futura"/>
          <w:b/>
          <w:color w:val="16652E"/>
        </w:rPr>
        <w:t>Meta -</w:t>
      </w:r>
      <w:r w:rsidRPr="00F44A77">
        <w:rPr>
          <w:rFonts w:ascii="Calibri" w:hAnsi="Calibri"/>
          <w:b/>
        </w:rPr>
        <w:t xml:space="preserve"> </w:t>
      </w:r>
      <w:r w:rsidR="0002740D">
        <w:rPr>
          <w:rFonts w:ascii="Calibri" w:hAnsi="Calibri"/>
          <w:b/>
        </w:rPr>
        <w:t xml:space="preserve"> o</w:t>
      </w:r>
      <w:r w:rsidRPr="00F44A77">
        <w:rPr>
          <w:rFonts w:ascii="Calibri" w:hAnsi="Calibri"/>
          <w:b/>
        </w:rPr>
        <w:t>bjetivos mínimos prefijados por normativas o documentos de referencia en función de las distintas acciones propuestas, o bien, propuestas personalizadas del grupo de trabajo. Un ejemplo podría ser alcanzar un porcentaje de</w:t>
      </w:r>
      <w:r w:rsidR="001E3E9A">
        <w:rPr>
          <w:rFonts w:ascii="Calibri" w:hAnsi="Calibri"/>
          <w:b/>
        </w:rPr>
        <w:t xml:space="preserve"> recogida selectiva de residuos superior al 3</w:t>
      </w:r>
      <w:r w:rsidRPr="00F44A77">
        <w:rPr>
          <w:rFonts w:ascii="Calibri" w:hAnsi="Calibri"/>
          <w:b/>
        </w:rPr>
        <w:t>0%.</w:t>
      </w:r>
    </w:p>
    <w:p w:rsidR="00FC3634" w:rsidRDefault="00FC3634"/>
    <w:p w:rsidR="00FD2F5E" w:rsidRPr="002F6E74" w:rsidRDefault="002F6E74" w:rsidP="00FC3634">
      <w:pPr>
        <w:rPr>
          <w:rFonts w:ascii="Calibri" w:hAnsi="Calibri"/>
          <w:b/>
          <w:sz w:val="22"/>
          <w:szCs w:val="22"/>
        </w:rPr>
      </w:pPr>
      <w:r w:rsidRPr="002F6E74">
        <w:rPr>
          <w:rFonts w:ascii="Calibri" w:hAnsi="Calibri"/>
          <w:b/>
          <w:sz w:val="22"/>
          <w:szCs w:val="22"/>
        </w:rPr>
        <w:t>- EJEMPLO -</w:t>
      </w: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4548BA" w:rsidRDefault="002F6E74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  <w:t>Numerosos días a lo largo del año en los que se registra calidad del aire mala o muy mala</w:t>
            </w: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F6E74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Alcanzar niveles de calidad del aire que no den lugar a riesgos o efectos negativos para la salud humana y el medio ambiente</w:t>
            </w: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4548BA" w:rsidRPr="004548BA" w:rsidRDefault="004548BA" w:rsidP="004548BA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No superar las cargas y niveles máximos establecidos en la legislación para:</w:t>
            </w:r>
          </w:p>
          <w:p w:rsidR="00227CF7" w:rsidRPr="004548BA" w:rsidRDefault="004548BA" w:rsidP="004548BA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SO2, NO2, NH3, PM10, PM2.</w:t>
            </w:r>
            <w:r w:rsidR="004B52A8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5, CO, O3, metales y B(a)P</w:t>
            </w:r>
            <w:r w:rsidR="002F6E74" w:rsidRPr="004548BA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2F6E74" w:rsidRPr="004548BA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4548BA" w:rsidRPr="004548BA" w:rsidRDefault="004548BA" w:rsidP="004548BA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548BA" w:rsidRPr="004548BA" w:rsidRDefault="004548BA" w:rsidP="004548BA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Áreas que recogen las estaciones de medida con peores resultados</w:t>
            </w: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Pr="004548BA" w:rsidRDefault="004548BA" w:rsidP="004548BA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Alta. Vinculado a riesgos para la salud humana</w:t>
            </w: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4548BA" w:rsidRDefault="004548BA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Media. Requiere la coordinación de la administración pública, el sector privado y la sociedad civil</w:t>
            </w: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4548BA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Calidad del aire y niveles de contaminación</w:t>
            </w: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4548BA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Mantener el valor del índice de calidad del aire en el rango de buena y admisible durante todo el año</w:t>
            </w: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4548BA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FC3634" w:rsidRDefault="00FC3634" w:rsidP="00FC3634"/>
    <w:p w:rsidR="00227CF7" w:rsidRDefault="00227CF7" w:rsidP="00FC3634"/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/>
    <w:p w:rsidR="00227CF7" w:rsidRDefault="00227CF7" w:rsidP="00FC3634">
      <w:pPr>
        <w:tabs>
          <w:tab w:val="left" w:pos="4900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>
      <w:pPr>
        <w:tabs>
          <w:tab w:val="left" w:pos="4900"/>
        </w:tabs>
      </w:pPr>
    </w:p>
    <w:p w:rsidR="00227CF7" w:rsidRDefault="00227CF7">
      <w:pPr>
        <w:widowControl/>
        <w:autoSpaceDE/>
        <w:autoSpaceDN/>
        <w:adjustRightInd/>
        <w:jc w:val="center"/>
      </w:pPr>
      <w:r>
        <w:br w:type="page"/>
      </w:r>
    </w:p>
    <w:p w:rsidR="00227CF7" w:rsidRDefault="00227CF7" w:rsidP="00FC3634">
      <w:pPr>
        <w:tabs>
          <w:tab w:val="left" w:pos="4900"/>
        </w:tabs>
      </w:pPr>
    </w:p>
    <w:p w:rsidR="00227CF7" w:rsidRDefault="00227CF7" w:rsidP="00FC3634">
      <w:pPr>
        <w:tabs>
          <w:tab w:val="left" w:pos="4900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27CF7" w:rsidRDefault="00227CF7" w:rsidP="00FC3634">
      <w:pPr>
        <w:tabs>
          <w:tab w:val="left" w:pos="4900"/>
        </w:tabs>
      </w:pPr>
    </w:p>
    <w:p w:rsidR="00227CF7" w:rsidRDefault="00227CF7" w:rsidP="00FC3634">
      <w:pPr>
        <w:tabs>
          <w:tab w:val="left" w:pos="4900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227CF7" w:rsidRPr="009F5B0C" w:rsidTr="005F131F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27CF7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27CF7" w:rsidRPr="009F5B0C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7CF7" w:rsidRPr="009F5B0C" w:rsidTr="005F131F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227CF7" w:rsidRPr="00E24901" w:rsidRDefault="00227CF7" w:rsidP="005F131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227CF7" w:rsidRPr="0018785B" w:rsidRDefault="00227CF7" w:rsidP="005F131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07EC2" w:rsidRPr="00FC3634" w:rsidRDefault="00FC3634" w:rsidP="00FC3634">
      <w:pPr>
        <w:tabs>
          <w:tab w:val="left" w:pos="4900"/>
        </w:tabs>
      </w:pPr>
      <w:r>
        <w:tab/>
      </w:r>
    </w:p>
    <w:sectPr w:rsidR="00107EC2" w:rsidRPr="00FC3634" w:rsidSect="00FC3634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DF" w:rsidRDefault="00F04EDF" w:rsidP="000F4BA0">
      <w:r>
        <w:separator/>
      </w:r>
    </w:p>
  </w:endnote>
  <w:endnote w:type="continuationSeparator" w:id="0">
    <w:p w:rsidR="00F04EDF" w:rsidRDefault="00F04EDF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5068C9" w:rsidP="000F4BA0">
    <w:pPr>
      <w:pStyle w:val="Piedepgina"/>
      <w:jc w:val="center"/>
    </w:pPr>
    <w:r w:rsidRPr="003169F6">
      <w:rPr>
        <w:rStyle w:val="Nmerodepgina"/>
        <w:rFonts w:ascii="Futura" w:eastAsiaTheme="majorEastAsia" w:hAnsi="Futura" w:cs="Futura"/>
        <w:color w:val="551858"/>
      </w:rPr>
      <w:fldChar w:fldCharType="begin"/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="000F4BA0">
      <w:rPr>
        <w:rStyle w:val="Nmerodepgina"/>
        <w:rFonts w:ascii="Futura" w:eastAsiaTheme="majorEastAsia" w:hAnsi="Futura" w:cs="Futura"/>
        <w:color w:val="551858"/>
      </w:rPr>
      <w:instrText>PAGE</w:instrText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separate"/>
    </w:r>
    <w:r w:rsidR="004B52A8">
      <w:rPr>
        <w:rStyle w:val="Nmerodepgina"/>
        <w:rFonts w:ascii="Futura" w:eastAsiaTheme="majorEastAsia" w:hAnsi="Futura" w:cs="Futura"/>
        <w:noProof/>
        <w:color w:val="551858"/>
      </w:rPr>
      <w:t>5</w: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end"/>
    </w:r>
  </w:p>
  <w:p w:rsidR="000F4BA0" w:rsidRDefault="000F4B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DF" w:rsidRDefault="00F04EDF" w:rsidP="000F4BA0">
      <w:r>
        <w:separator/>
      </w:r>
    </w:p>
  </w:footnote>
  <w:footnote w:type="continuationSeparator" w:id="0">
    <w:p w:rsidR="00F04EDF" w:rsidRDefault="00F04EDF" w:rsidP="000F4BA0">
      <w:r>
        <w:continuationSeparator/>
      </w:r>
    </w:p>
  </w:footnote>
  <w:footnote w:id="1">
    <w:p w:rsidR="0084475F" w:rsidRPr="002073FE" w:rsidRDefault="0084475F" w:rsidP="0084475F">
      <w:pPr>
        <w:pStyle w:val="Textonotapie"/>
        <w:rPr>
          <w:rFonts w:ascii="Futura Lt BT" w:hAnsi="Futura Lt BT"/>
        </w:rPr>
      </w:pPr>
      <w:r w:rsidRPr="002073FE">
        <w:rPr>
          <w:rStyle w:val="Refdenotaalpie"/>
          <w:rFonts w:ascii="Futura Lt BT" w:hAnsi="Futura Lt BT"/>
        </w:rPr>
        <w:footnoteRef/>
      </w:r>
      <w:r w:rsidRPr="002073FE">
        <w:rPr>
          <w:rFonts w:ascii="Futura Lt BT" w:hAnsi="Futura Lt BT"/>
        </w:rPr>
        <w:t xml:space="preserve"> Carta de Málaga sobre Modelos Urbanos Sostenibles. Plataforma CAT-MED</w:t>
      </w:r>
    </w:p>
  </w:footnote>
  <w:footnote w:id="2">
    <w:p w:rsidR="0084475F" w:rsidRPr="002073FE" w:rsidRDefault="0084475F" w:rsidP="0084475F">
      <w:pPr>
        <w:pStyle w:val="Textonotapie"/>
        <w:rPr>
          <w:rFonts w:ascii="Futura Lt BT" w:hAnsi="Futura Lt BT"/>
        </w:rPr>
      </w:pPr>
      <w:r w:rsidRPr="002073FE">
        <w:rPr>
          <w:rStyle w:val="Refdenotaalpie"/>
          <w:rFonts w:ascii="Futura Lt BT" w:hAnsi="Futura Lt BT"/>
        </w:rPr>
        <w:footnoteRef/>
      </w:r>
      <w:r w:rsidRPr="002073FE">
        <w:rPr>
          <w:rFonts w:ascii="Futura Lt BT" w:hAnsi="Futura Lt BT"/>
        </w:rPr>
        <w:t xml:space="preserve"> Estrategia Española de Sostenibilidad Urbana y Local</w:t>
      </w:r>
    </w:p>
  </w:footnote>
  <w:footnote w:id="3">
    <w:p w:rsidR="0084475F" w:rsidRDefault="0084475F" w:rsidP="0084475F">
      <w:pPr>
        <w:pStyle w:val="Textonotapie"/>
      </w:pPr>
      <w:r w:rsidRPr="002073FE">
        <w:rPr>
          <w:rStyle w:val="Refdenotaalpie"/>
          <w:rFonts w:ascii="Futura Lt BT" w:hAnsi="Futura Lt BT"/>
        </w:rPr>
        <w:footnoteRef/>
      </w:r>
      <w:r w:rsidRPr="002073FE">
        <w:rPr>
          <w:rFonts w:ascii="Futura Lt BT" w:hAnsi="Futura Lt BT"/>
        </w:rPr>
        <w:t xml:space="preserve"> Estrategia Andaluza de Sostenibilidad Urbana</w:t>
      </w:r>
    </w:p>
  </w:footnote>
  <w:footnote w:id="4">
    <w:p w:rsidR="0084475F" w:rsidRDefault="0084475F" w:rsidP="008447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C68A1">
        <w:rPr>
          <w:rFonts w:ascii="Futura Lt BT" w:hAnsi="Futura Lt BT"/>
        </w:rPr>
        <w:t>Estrategia Europa 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2B555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5258163</wp:posOffset>
          </wp:positionH>
          <wp:positionV relativeFrom="paragraph">
            <wp:posOffset>-212709</wp:posOffset>
          </wp:positionV>
          <wp:extent cx="503464" cy="570016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64" cy="5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-2606</wp:posOffset>
          </wp:positionH>
          <wp:positionV relativeFrom="margin">
            <wp:posOffset>-662924</wp:posOffset>
          </wp:positionV>
          <wp:extent cx="2047256" cy="570016"/>
          <wp:effectExtent l="19050" t="0" r="0" b="0"/>
          <wp:wrapNone/>
          <wp:docPr id="6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6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8C" w:rsidRDefault="00290F1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8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28C" w:rsidRDefault="0001328C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01328C" w:rsidRPr="00DF51B1" w:rsidRDefault="0001328C" w:rsidP="0001328C">
    <w:pPr>
      <w:pStyle w:val="Encabezado"/>
      <w:jc w:val="right"/>
      <w:rPr>
        <w:rFonts w:ascii="Futura" w:hAnsi="Futura" w:cs="Futura"/>
        <w:b/>
        <w:color w:val="16652E"/>
        <w:sz w:val="20"/>
        <w:szCs w:val="20"/>
      </w:rPr>
    </w:pPr>
    <w:r w:rsidRPr="00DF51B1">
      <w:rPr>
        <w:rFonts w:ascii="Futura" w:hAnsi="Futura" w:cs="Futura"/>
        <w:b/>
        <w:color w:val="16652E"/>
        <w:sz w:val="20"/>
        <w:szCs w:val="20"/>
      </w:rPr>
      <w:t>Foro A21 Málaga</w:t>
    </w:r>
  </w:p>
  <w:p w:rsidR="0001328C" w:rsidRPr="0001328C" w:rsidRDefault="001E3E9A" w:rsidP="0001328C">
    <w:pPr>
      <w:pStyle w:val="Encabezado"/>
      <w:jc w:val="right"/>
      <w:rPr>
        <w:rFonts w:ascii="Futura" w:hAnsi="Futura" w:cs="Futura"/>
        <w:b/>
      </w:rPr>
    </w:pPr>
    <w:r>
      <w:rPr>
        <w:rFonts w:ascii="Futura" w:hAnsi="Futura" w:cs="Futura"/>
        <w:b/>
        <w:color w:val="16652E"/>
        <w:sz w:val="20"/>
        <w:szCs w:val="20"/>
      </w:rPr>
      <w:t>Gestión de los recursos</w:t>
    </w:r>
    <w:r w:rsidR="0001328C" w:rsidRPr="0001328C">
      <w:rPr>
        <w:rFonts w:ascii="Futura" w:hAnsi="Futura" w:cs="Futura"/>
        <w:b/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10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941892" w:rsidRPr="001E3E9A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16652E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1E3E9A">
      <w:rPr>
        <w:rFonts w:ascii="Futura" w:hAnsi="Futura" w:cs="Futura"/>
        <w:b/>
        <w:color w:val="16652E"/>
        <w:sz w:val="20"/>
        <w:szCs w:val="20"/>
      </w:rPr>
      <w:t>Foro A21 Málaga</w:t>
    </w:r>
  </w:p>
  <w:p w:rsidR="00941892" w:rsidRPr="0001328C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 w:rsidRPr="001E3E9A">
      <w:rPr>
        <w:rFonts w:ascii="Futura" w:hAnsi="Futura" w:cs="Futura"/>
        <w:b/>
        <w:color w:val="16652E"/>
        <w:sz w:val="20"/>
        <w:szCs w:val="20"/>
      </w:rPr>
      <w:t>Nombre:</w:t>
    </w:r>
    <w:r w:rsidRPr="001E3E9A">
      <w:rPr>
        <w:rFonts w:ascii="Futura" w:hAnsi="Futura" w:cs="Futura"/>
        <w:b/>
        <w:color w:val="16652E"/>
        <w:sz w:val="20"/>
        <w:szCs w:val="20"/>
      </w:rPr>
      <w:tab/>
    </w:r>
    <w:r w:rsidRPr="001E3E9A">
      <w:rPr>
        <w:rFonts w:ascii="Futura" w:hAnsi="Futura" w:cs="Futura"/>
        <w:b/>
        <w:color w:val="16652E"/>
        <w:sz w:val="20"/>
        <w:szCs w:val="20"/>
      </w:rPr>
      <w:tab/>
    </w:r>
    <w:r w:rsidR="001E3E9A">
      <w:rPr>
        <w:rFonts w:ascii="Futura" w:hAnsi="Futura" w:cs="Futura"/>
        <w:b/>
        <w:color w:val="16652E"/>
        <w:sz w:val="20"/>
        <w:szCs w:val="20"/>
      </w:rPr>
      <w:t>Gestión de los recursos</w:t>
    </w:r>
    <w:r w:rsidRPr="0001328C">
      <w:rPr>
        <w:rFonts w:ascii="Futura" w:hAnsi="Futura" w:cs="Futura"/>
        <w:b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58F"/>
    <w:multiLevelType w:val="hybridMultilevel"/>
    <w:tmpl w:val="E99A4372"/>
    <w:lvl w:ilvl="0" w:tplc="3D1CB7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AD0"/>
    <w:multiLevelType w:val="hybridMultilevel"/>
    <w:tmpl w:val="DBD29A86"/>
    <w:lvl w:ilvl="0" w:tplc="A8D80D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6203"/>
    <w:multiLevelType w:val="hybridMultilevel"/>
    <w:tmpl w:val="1F402256"/>
    <w:lvl w:ilvl="0" w:tplc="B81A2DD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F4BA0"/>
    <w:rsid w:val="0001328C"/>
    <w:rsid w:val="0002740D"/>
    <w:rsid w:val="000C065B"/>
    <w:rsid w:val="000C0E4F"/>
    <w:rsid w:val="000F4BA0"/>
    <w:rsid w:val="00107EC2"/>
    <w:rsid w:val="0018785B"/>
    <w:rsid w:val="001E3E9A"/>
    <w:rsid w:val="00227CF7"/>
    <w:rsid w:val="00290F12"/>
    <w:rsid w:val="002B555D"/>
    <w:rsid w:val="002D4ABD"/>
    <w:rsid w:val="002F6E74"/>
    <w:rsid w:val="003E0AF2"/>
    <w:rsid w:val="004548BA"/>
    <w:rsid w:val="004B52A8"/>
    <w:rsid w:val="005068C9"/>
    <w:rsid w:val="005C2025"/>
    <w:rsid w:val="00740E3A"/>
    <w:rsid w:val="007751FA"/>
    <w:rsid w:val="007C2BA0"/>
    <w:rsid w:val="007D4DC3"/>
    <w:rsid w:val="0084475F"/>
    <w:rsid w:val="00941892"/>
    <w:rsid w:val="009563C5"/>
    <w:rsid w:val="009C26AE"/>
    <w:rsid w:val="00B87534"/>
    <w:rsid w:val="00D70042"/>
    <w:rsid w:val="00DE73E0"/>
    <w:rsid w:val="00DF51B1"/>
    <w:rsid w:val="00E017FE"/>
    <w:rsid w:val="00F04EDF"/>
    <w:rsid w:val="00F44A77"/>
    <w:rsid w:val="00FC3634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72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ice"/>
    <w:basedOn w:val="Normal"/>
    <w:link w:val="EncabezadoCar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semiHidden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84475F"/>
    <w:pPr>
      <w:ind w:left="720"/>
      <w:contextualSpacing/>
    </w:pPr>
  </w:style>
  <w:style w:type="table" w:styleId="Cuadrculamedia1-nfasis3">
    <w:name w:val="Medium Grid 1 Accent 3"/>
    <w:basedOn w:val="Tablanormal"/>
    <w:uiPriority w:val="72"/>
    <w:rsid w:val="00227CF7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D0B1-2735-4D38-881E-3D65A024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1608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17</cp:revision>
  <dcterms:created xsi:type="dcterms:W3CDTF">2014-04-16T12:05:00Z</dcterms:created>
  <dcterms:modified xsi:type="dcterms:W3CDTF">2014-04-16T18:45:00Z</dcterms:modified>
</cp:coreProperties>
</file>